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882C7" w14:textId="389744E0" w:rsidR="009344D0" w:rsidRPr="00864715" w:rsidRDefault="009344D0" w:rsidP="00173504">
      <w:pPr>
        <w:jc w:val="center"/>
        <w:rPr>
          <w:rFonts w:cstheme="minorHAnsi"/>
          <w:b/>
          <w:bCs/>
          <w:color w:val="4472C4" w:themeColor="accent1"/>
          <w:sz w:val="28"/>
          <w:szCs w:val="28"/>
        </w:rPr>
      </w:pPr>
      <w:r w:rsidRPr="00864715">
        <w:rPr>
          <w:rFonts w:cstheme="minorHAnsi"/>
          <w:b/>
          <w:bCs/>
          <w:color w:val="4472C4" w:themeColor="accent1"/>
          <w:sz w:val="28"/>
          <w:szCs w:val="28"/>
        </w:rPr>
        <w:t>Edinburgh Alcohol and Drug Partnership Annual Report 20</w:t>
      </w:r>
      <w:r w:rsidR="00A64772" w:rsidRPr="00864715">
        <w:rPr>
          <w:rFonts w:cstheme="minorHAnsi"/>
          <w:b/>
          <w:bCs/>
          <w:color w:val="4472C4" w:themeColor="accent1"/>
          <w:sz w:val="28"/>
          <w:szCs w:val="28"/>
        </w:rPr>
        <w:t>2</w:t>
      </w:r>
      <w:r w:rsidR="001818FC" w:rsidRPr="00864715">
        <w:rPr>
          <w:rFonts w:cstheme="minorHAnsi"/>
          <w:b/>
          <w:bCs/>
          <w:color w:val="4472C4" w:themeColor="accent1"/>
          <w:sz w:val="28"/>
          <w:szCs w:val="28"/>
        </w:rPr>
        <w:t>3</w:t>
      </w:r>
      <w:r w:rsidR="00A64772" w:rsidRPr="00864715">
        <w:rPr>
          <w:rFonts w:cstheme="minorHAnsi"/>
          <w:b/>
          <w:bCs/>
          <w:color w:val="4472C4" w:themeColor="accent1"/>
          <w:sz w:val="28"/>
          <w:szCs w:val="28"/>
        </w:rPr>
        <w:t>-2</w:t>
      </w:r>
      <w:r w:rsidR="001818FC" w:rsidRPr="00864715">
        <w:rPr>
          <w:rFonts w:cstheme="minorHAnsi"/>
          <w:b/>
          <w:bCs/>
          <w:color w:val="4472C4" w:themeColor="accent1"/>
          <w:sz w:val="28"/>
          <w:szCs w:val="28"/>
        </w:rPr>
        <w:t>4</w:t>
      </w:r>
    </w:p>
    <w:p w14:paraId="0638DB14" w14:textId="4827FF00" w:rsidR="00AD06D1" w:rsidRDefault="00972252" w:rsidP="00972252">
      <w:pPr>
        <w:rPr>
          <w:rFonts w:cstheme="minorHAnsi"/>
          <w:sz w:val="24"/>
          <w:szCs w:val="24"/>
        </w:rPr>
      </w:pPr>
      <w:bookmarkStart w:id="0" w:name="_Toc107587029"/>
      <w:r w:rsidRPr="00C44B9C">
        <w:rPr>
          <w:rFonts w:cstheme="minorHAnsi"/>
          <w:sz w:val="24"/>
          <w:szCs w:val="24"/>
        </w:rPr>
        <w:t xml:space="preserve">This report </w:t>
      </w:r>
      <w:r w:rsidR="00361BF1" w:rsidRPr="00C44B9C">
        <w:rPr>
          <w:rFonts w:cstheme="minorHAnsi"/>
          <w:sz w:val="24"/>
          <w:szCs w:val="24"/>
        </w:rPr>
        <w:t xml:space="preserve">describes </w:t>
      </w:r>
      <w:r w:rsidRPr="00C44B9C">
        <w:rPr>
          <w:rFonts w:cstheme="minorHAnsi"/>
          <w:sz w:val="24"/>
          <w:szCs w:val="24"/>
        </w:rPr>
        <w:t xml:space="preserve">key developments in the ADP </w:t>
      </w:r>
      <w:r w:rsidR="008D1663" w:rsidRPr="00C44B9C">
        <w:rPr>
          <w:rFonts w:cstheme="minorHAnsi"/>
          <w:sz w:val="24"/>
          <w:szCs w:val="24"/>
        </w:rPr>
        <w:t>in 202</w:t>
      </w:r>
      <w:r w:rsidR="00480E78" w:rsidRPr="00C44B9C">
        <w:rPr>
          <w:rFonts w:cstheme="minorHAnsi"/>
          <w:sz w:val="24"/>
          <w:szCs w:val="24"/>
        </w:rPr>
        <w:t>3</w:t>
      </w:r>
      <w:r w:rsidR="008D1663" w:rsidRPr="00C44B9C">
        <w:rPr>
          <w:rFonts w:cstheme="minorHAnsi"/>
          <w:sz w:val="24"/>
          <w:szCs w:val="24"/>
        </w:rPr>
        <w:t>-2</w:t>
      </w:r>
      <w:r w:rsidR="00480E78" w:rsidRPr="00C44B9C">
        <w:rPr>
          <w:rFonts w:cstheme="minorHAnsi"/>
          <w:sz w:val="24"/>
          <w:szCs w:val="24"/>
        </w:rPr>
        <w:t>4</w:t>
      </w:r>
      <w:r w:rsidR="00BF4E15" w:rsidRPr="00C44B9C">
        <w:rPr>
          <w:rFonts w:cstheme="minorHAnsi"/>
          <w:sz w:val="24"/>
          <w:szCs w:val="24"/>
        </w:rPr>
        <w:t xml:space="preserve">. </w:t>
      </w:r>
      <w:r w:rsidR="00985FA8" w:rsidRPr="00C44B9C">
        <w:rPr>
          <w:rFonts w:cstheme="minorHAnsi"/>
          <w:sz w:val="24"/>
          <w:szCs w:val="24"/>
        </w:rPr>
        <w:t xml:space="preserve">The </w:t>
      </w:r>
      <w:r w:rsidR="007704A8" w:rsidRPr="00C44B9C">
        <w:rPr>
          <w:rFonts w:cstheme="minorHAnsi"/>
          <w:sz w:val="24"/>
          <w:szCs w:val="24"/>
        </w:rPr>
        <w:t>appendi</w:t>
      </w:r>
      <w:r w:rsidR="00CC6BB9" w:rsidRPr="00C44B9C">
        <w:rPr>
          <w:rFonts w:cstheme="minorHAnsi"/>
          <w:sz w:val="24"/>
          <w:szCs w:val="24"/>
        </w:rPr>
        <w:t>x</w:t>
      </w:r>
      <w:r w:rsidR="007704A8" w:rsidRPr="00C44B9C">
        <w:rPr>
          <w:rFonts w:cstheme="minorHAnsi"/>
          <w:sz w:val="24"/>
          <w:szCs w:val="24"/>
        </w:rPr>
        <w:t xml:space="preserve"> </w:t>
      </w:r>
      <w:r w:rsidR="00BB476B" w:rsidRPr="00C44B9C">
        <w:rPr>
          <w:rFonts w:cstheme="minorHAnsi"/>
          <w:sz w:val="24"/>
          <w:szCs w:val="24"/>
        </w:rPr>
        <w:t>describe</w:t>
      </w:r>
      <w:r w:rsidR="00CC6BB9" w:rsidRPr="00C44B9C">
        <w:rPr>
          <w:rFonts w:cstheme="minorHAnsi"/>
          <w:sz w:val="24"/>
          <w:szCs w:val="24"/>
        </w:rPr>
        <w:t>s</w:t>
      </w:r>
      <w:r w:rsidR="00BB476B" w:rsidRPr="00C44B9C">
        <w:rPr>
          <w:rFonts w:cstheme="minorHAnsi"/>
          <w:sz w:val="24"/>
          <w:szCs w:val="24"/>
        </w:rPr>
        <w:t xml:space="preserve"> the ADP’s Performance </w:t>
      </w:r>
      <w:r w:rsidR="007A766E" w:rsidRPr="00C44B9C">
        <w:rPr>
          <w:rFonts w:cstheme="minorHAnsi"/>
          <w:sz w:val="24"/>
          <w:szCs w:val="24"/>
        </w:rPr>
        <w:t>for 202</w:t>
      </w:r>
      <w:r w:rsidR="00480E78" w:rsidRPr="00C44B9C">
        <w:rPr>
          <w:rFonts w:cstheme="minorHAnsi"/>
          <w:sz w:val="24"/>
          <w:szCs w:val="24"/>
        </w:rPr>
        <w:t>3</w:t>
      </w:r>
      <w:r w:rsidR="007A766E" w:rsidRPr="00C44B9C">
        <w:rPr>
          <w:rFonts w:cstheme="minorHAnsi"/>
          <w:sz w:val="24"/>
          <w:szCs w:val="24"/>
        </w:rPr>
        <w:t>-2</w:t>
      </w:r>
      <w:r w:rsidR="00480E78" w:rsidRPr="00C44B9C">
        <w:rPr>
          <w:rFonts w:cstheme="minorHAnsi"/>
          <w:sz w:val="24"/>
          <w:szCs w:val="24"/>
        </w:rPr>
        <w:t>4</w:t>
      </w:r>
      <w:r w:rsidR="007A766E" w:rsidRPr="00C44B9C">
        <w:rPr>
          <w:rFonts w:cstheme="minorHAnsi"/>
          <w:sz w:val="24"/>
          <w:szCs w:val="24"/>
        </w:rPr>
        <w:t xml:space="preserve">. </w:t>
      </w:r>
    </w:p>
    <w:tbl>
      <w:tblPr>
        <w:tblStyle w:val="TableGrid"/>
        <w:tblW w:w="0" w:type="auto"/>
        <w:tblLook w:val="04A0" w:firstRow="1" w:lastRow="0" w:firstColumn="1" w:lastColumn="0" w:noHBand="0" w:noVBand="1"/>
      </w:tblPr>
      <w:tblGrid>
        <w:gridCol w:w="9016"/>
      </w:tblGrid>
      <w:tr w:rsidR="008160B0" w14:paraId="14741207" w14:textId="77777777" w:rsidTr="008160B0">
        <w:tc>
          <w:tcPr>
            <w:tcW w:w="9016" w:type="dxa"/>
          </w:tcPr>
          <w:p w14:paraId="2A2E80F8" w14:textId="77777777" w:rsidR="008160B0" w:rsidRPr="008160B0" w:rsidRDefault="008160B0" w:rsidP="008160B0">
            <w:pPr>
              <w:pStyle w:val="Heading1"/>
              <w:rPr>
                <w:rFonts w:asciiTheme="minorHAnsi" w:hAnsiTheme="minorHAnsi" w:cstheme="minorHAnsi"/>
                <w:b/>
                <w:bCs/>
                <w:sz w:val="24"/>
                <w:szCs w:val="24"/>
              </w:rPr>
            </w:pPr>
            <w:bookmarkStart w:id="1" w:name="_Toc174006738"/>
            <w:r w:rsidRPr="008160B0">
              <w:rPr>
                <w:rFonts w:asciiTheme="minorHAnsi" w:hAnsiTheme="minorHAnsi" w:cstheme="minorHAnsi"/>
                <w:b/>
                <w:bCs/>
                <w:sz w:val="24"/>
                <w:szCs w:val="24"/>
              </w:rPr>
              <w:t>Key Achievements of the Edinburgh Alcohol and Drugs Partnership in 2023-24</w:t>
            </w:r>
            <w:bookmarkEnd w:id="1"/>
          </w:p>
          <w:p w14:paraId="0E1D4887" w14:textId="77777777" w:rsidR="008160B0" w:rsidRDefault="008160B0" w:rsidP="00972252">
            <w:pPr>
              <w:rPr>
                <w:rFonts w:cstheme="minorHAnsi"/>
                <w:sz w:val="24"/>
                <w:szCs w:val="24"/>
              </w:rPr>
            </w:pPr>
          </w:p>
        </w:tc>
      </w:tr>
      <w:tr w:rsidR="008160B0" w14:paraId="27549ADD" w14:textId="77777777" w:rsidTr="008160B0">
        <w:tc>
          <w:tcPr>
            <w:tcW w:w="9016" w:type="dxa"/>
            <w:shd w:val="clear" w:color="auto" w:fill="B4C6E7" w:themeFill="accent1" w:themeFillTint="66"/>
          </w:tcPr>
          <w:p w14:paraId="034DC6C7" w14:textId="77777777" w:rsidR="008160B0" w:rsidRPr="00864715" w:rsidRDefault="008160B0" w:rsidP="008160B0">
            <w:pPr>
              <w:jc w:val="both"/>
              <w:rPr>
                <w:rFonts w:asciiTheme="minorHAnsi" w:hAnsiTheme="minorHAnsi" w:cstheme="minorHAnsi"/>
                <w:sz w:val="24"/>
                <w:szCs w:val="24"/>
              </w:rPr>
            </w:pPr>
            <w:r w:rsidRPr="00864715">
              <w:rPr>
                <w:rFonts w:asciiTheme="minorHAnsi" w:hAnsiTheme="minorHAnsi" w:cstheme="minorHAnsi"/>
                <w:sz w:val="24"/>
                <w:szCs w:val="24"/>
              </w:rPr>
              <w:t>Implemented a programme dedicated to ensuring that the voice of lived and living experience is central to all of its future activity.</w:t>
            </w:r>
          </w:p>
          <w:p w14:paraId="59CF6B73" w14:textId="77777777" w:rsidR="008160B0" w:rsidRPr="00864715" w:rsidRDefault="008160B0" w:rsidP="008160B0">
            <w:pPr>
              <w:jc w:val="both"/>
              <w:rPr>
                <w:rFonts w:asciiTheme="minorHAnsi" w:hAnsiTheme="minorHAnsi" w:cstheme="minorHAnsi"/>
                <w:sz w:val="24"/>
                <w:szCs w:val="24"/>
              </w:rPr>
            </w:pPr>
          </w:p>
          <w:p w14:paraId="055A0C9A" w14:textId="5A93DF26" w:rsidR="008160B0" w:rsidRPr="00864715" w:rsidRDefault="008160B0" w:rsidP="008160B0">
            <w:pPr>
              <w:jc w:val="both"/>
              <w:rPr>
                <w:rFonts w:asciiTheme="minorHAnsi" w:hAnsiTheme="minorHAnsi" w:cstheme="minorHAnsi"/>
                <w:sz w:val="24"/>
                <w:szCs w:val="24"/>
              </w:rPr>
            </w:pPr>
            <w:r>
              <w:rPr>
                <w:rFonts w:cstheme="minorHAnsi"/>
                <w:sz w:val="24"/>
                <w:szCs w:val="24"/>
              </w:rPr>
              <w:t xml:space="preserve">Increased lived experience in service delivery and coproduction including the </w:t>
            </w:r>
            <w:r w:rsidR="00BF4E15">
              <w:rPr>
                <w:rFonts w:cstheme="minorHAnsi"/>
                <w:sz w:val="24"/>
                <w:szCs w:val="24"/>
              </w:rPr>
              <w:t>draft Alcohol</w:t>
            </w:r>
            <w:r>
              <w:rPr>
                <w:rFonts w:cstheme="minorHAnsi"/>
                <w:sz w:val="24"/>
                <w:szCs w:val="24"/>
              </w:rPr>
              <w:t xml:space="preserve"> and Drugs </w:t>
            </w:r>
            <w:r w:rsidR="00BF4E15">
              <w:rPr>
                <w:rFonts w:cstheme="minorHAnsi"/>
                <w:sz w:val="24"/>
                <w:szCs w:val="24"/>
              </w:rPr>
              <w:t>Strategy</w:t>
            </w:r>
          </w:p>
          <w:p w14:paraId="6AA210B0" w14:textId="77777777" w:rsidR="008160B0" w:rsidRPr="00864715" w:rsidRDefault="008160B0" w:rsidP="008160B0">
            <w:pPr>
              <w:jc w:val="both"/>
              <w:rPr>
                <w:rFonts w:asciiTheme="minorHAnsi" w:hAnsiTheme="minorHAnsi" w:cstheme="minorHAnsi"/>
                <w:sz w:val="24"/>
                <w:szCs w:val="24"/>
              </w:rPr>
            </w:pPr>
          </w:p>
          <w:p w14:paraId="6667183C" w14:textId="77777777" w:rsidR="008160B0" w:rsidRPr="00864715" w:rsidRDefault="008160B0" w:rsidP="008160B0">
            <w:pPr>
              <w:jc w:val="both"/>
              <w:rPr>
                <w:rFonts w:asciiTheme="minorHAnsi" w:hAnsiTheme="minorHAnsi" w:cstheme="minorHAnsi"/>
                <w:sz w:val="24"/>
                <w:szCs w:val="24"/>
              </w:rPr>
            </w:pPr>
            <w:r w:rsidRPr="00864715">
              <w:rPr>
                <w:rFonts w:asciiTheme="minorHAnsi" w:hAnsiTheme="minorHAnsi" w:cstheme="minorHAnsi"/>
                <w:sz w:val="24"/>
                <w:szCs w:val="24"/>
              </w:rPr>
              <w:t xml:space="preserve">MAT Standards graded, by the specialist monitoring team at Scottish Government, as “green” for 1 through to 5 and provisionally green for 6, 7, 8, and 10. For MAT 9, Mental Health were graded as Amber </w:t>
            </w:r>
          </w:p>
          <w:p w14:paraId="1C19B002" w14:textId="77777777" w:rsidR="008160B0" w:rsidRPr="00864715" w:rsidRDefault="008160B0" w:rsidP="008160B0">
            <w:pPr>
              <w:jc w:val="both"/>
              <w:rPr>
                <w:rFonts w:asciiTheme="minorHAnsi" w:hAnsiTheme="minorHAnsi" w:cstheme="minorHAnsi"/>
                <w:sz w:val="24"/>
                <w:szCs w:val="24"/>
              </w:rPr>
            </w:pPr>
          </w:p>
          <w:p w14:paraId="2081FA05" w14:textId="77777777" w:rsidR="008160B0" w:rsidRPr="00864715" w:rsidRDefault="008160B0" w:rsidP="008160B0">
            <w:pPr>
              <w:jc w:val="both"/>
              <w:rPr>
                <w:rFonts w:asciiTheme="minorHAnsi" w:hAnsiTheme="minorHAnsi" w:cstheme="minorHAnsi"/>
                <w:sz w:val="24"/>
                <w:szCs w:val="24"/>
              </w:rPr>
            </w:pPr>
            <w:r w:rsidRPr="00864715">
              <w:rPr>
                <w:rFonts w:asciiTheme="minorHAnsi" w:hAnsiTheme="minorHAnsi" w:cstheme="minorHAnsi"/>
                <w:sz w:val="24"/>
                <w:szCs w:val="24"/>
              </w:rPr>
              <w:t>EdMAC, a service which starts people on Opioid Replacement Treatment on the same day that they present, is now functioning fully. All those seeking ORT can (if appropriate) start a prescription on any weekday at either EdMAC or at the Edinburgh Access Place.</w:t>
            </w:r>
          </w:p>
          <w:p w14:paraId="35615B9F" w14:textId="77777777" w:rsidR="008160B0" w:rsidRPr="00864715" w:rsidRDefault="008160B0" w:rsidP="008160B0">
            <w:pPr>
              <w:jc w:val="both"/>
              <w:rPr>
                <w:rFonts w:asciiTheme="minorHAnsi" w:hAnsiTheme="minorHAnsi" w:cstheme="minorHAnsi"/>
                <w:sz w:val="24"/>
                <w:szCs w:val="24"/>
              </w:rPr>
            </w:pPr>
          </w:p>
          <w:p w14:paraId="7304B960" w14:textId="77777777" w:rsidR="008160B0" w:rsidRPr="00864715" w:rsidRDefault="008160B0" w:rsidP="008160B0">
            <w:pPr>
              <w:jc w:val="both"/>
              <w:rPr>
                <w:rFonts w:asciiTheme="minorHAnsi" w:hAnsiTheme="minorHAnsi" w:cstheme="minorHAnsi"/>
                <w:sz w:val="24"/>
                <w:szCs w:val="24"/>
              </w:rPr>
            </w:pPr>
            <w:r w:rsidRPr="00864715">
              <w:rPr>
                <w:rFonts w:asciiTheme="minorHAnsi" w:hAnsiTheme="minorHAnsi" w:cstheme="minorHAnsi"/>
                <w:sz w:val="24"/>
                <w:szCs w:val="24"/>
              </w:rPr>
              <w:t>Assertive outreach to people in crisis improved greatly and most people were contacted within 2 days</w:t>
            </w:r>
          </w:p>
          <w:p w14:paraId="1748972E" w14:textId="77777777" w:rsidR="008160B0" w:rsidRPr="00864715" w:rsidRDefault="008160B0" w:rsidP="008160B0">
            <w:pPr>
              <w:jc w:val="both"/>
              <w:rPr>
                <w:rFonts w:asciiTheme="minorHAnsi" w:hAnsiTheme="minorHAnsi" w:cstheme="minorHAnsi"/>
                <w:sz w:val="24"/>
                <w:szCs w:val="24"/>
              </w:rPr>
            </w:pPr>
          </w:p>
          <w:p w14:paraId="56DC8A90" w14:textId="5DBC908A" w:rsidR="008160B0" w:rsidRPr="00864715" w:rsidRDefault="008160B0" w:rsidP="008160B0">
            <w:pPr>
              <w:jc w:val="both"/>
              <w:rPr>
                <w:rFonts w:asciiTheme="minorHAnsi" w:hAnsiTheme="minorHAnsi" w:cstheme="minorHAnsi"/>
                <w:sz w:val="24"/>
                <w:szCs w:val="24"/>
              </w:rPr>
            </w:pPr>
            <w:r w:rsidRPr="00864715">
              <w:rPr>
                <w:rFonts w:asciiTheme="minorHAnsi" w:hAnsiTheme="minorHAnsi" w:cstheme="minorHAnsi"/>
                <w:sz w:val="24"/>
                <w:szCs w:val="24"/>
              </w:rPr>
              <w:t xml:space="preserve">The proportion of Opiate Replacement Treatment patients receiving Long Acting Injectable Buprenorphine (LAIB) increased again </w:t>
            </w:r>
            <w:r w:rsidR="00BF4E15" w:rsidRPr="00864715">
              <w:rPr>
                <w:rFonts w:asciiTheme="minorHAnsi" w:hAnsiTheme="minorHAnsi" w:cstheme="minorHAnsi"/>
                <w:sz w:val="24"/>
                <w:szCs w:val="24"/>
              </w:rPr>
              <w:t>- 14</w:t>
            </w:r>
            <w:r w:rsidRPr="00864715">
              <w:rPr>
                <w:rFonts w:asciiTheme="minorHAnsi" w:hAnsiTheme="minorHAnsi" w:cstheme="minorHAnsi"/>
                <w:sz w:val="24"/>
                <w:szCs w:val="24"/>
              </w:rPr>
              <w:t>% of people on ORT are now prescribed LAIB</w:t>
            </w:r>
          </w:p>
          <w:p w14:paraId="65BCA1C2" w14:textId="77777777" w:rsidR="008160B0" w:rsidRPr="00864715" w:rsidRDefault="008160B0" w:rsidP="008160B0">
            <w:pPr>
              <w:jc w:val="both"/>
              <w:rPr>
                <w:rFonts w:asciiTheme="minorHAnsi" w:hAnsiTheme="minorHAnsi" w:cstheme="minorHAnsi"/>
                <w:sz w:val="24"/>
                <w:szCs w:val="24"/>
              </w:rPr>
            </w:pPr>
          </w:p>
          <w:p w14:paraId="10967B74" w14:textId="77777777" w:rsidR="008160B0" w:rsidRPr="00864715" w:rsidRDefault="008160B0" w:rsidP="008160B0">
            <w:pPr>
              <w:jc w:val="both"/>
              <w:rPr>
                <w:rFonts w:asciiTheme="minorHAnsi" w:hAnsiTheme="minorHAnsi" w:cstheme="minorHAnsi"/>
                <w:sz w:val="24"/>
                <w:szCs w:val="24"/>
              </w:rPr>
            </w:pPr>
            <w:r w:rsidRPr="00864715">
              <w:rPr>
                <w:rFonts w:asciiTheme="minorHAnsi" w:hAnsiTheme="minorHAnsi" w:cstheme="minorHAnsi"/>
                <w:sz w:val="24"/>
                <w:szCs w:val="24"/>
              </w:rPr>
              <w:t>Health needs assessment of alcohol harm for the city which will support future service development was completed</w:t>
            </w:r>
          </w:p>
          <w:p w14:paraId="43E445BF" w14:textId="77777777" w:rsidR="008160B0" w:rsidRDefault="008160B0" w:rsidP="00972252">
            <w:pPr>
              <w:rPr>
                <w:rFonts w:cstheme="minorHAnsi"/>
                <w:sz w:val="24"/>
                <w:szCs w:val="24"/>
              </w:rPr>
            </w:pPr>
          </w:p>
        </w:tc>
      </w:tr>
    </w:tbl>
    <w:p w14:paraId="78328CDD" w14:textId="77777777" w:rsidR="008160B0" w:rsidRDefault="008160B0" w:rsidP="00972252">
      <w:pPr>
        <w:rPr>
          <w:rFonts w:cstheme="minorHAnsi"/>
          <w:sz w:val="24"/>
          <w:szCs w:val="24"/>
        </w:rPr>
      </w:pPr>
    </w:p>
    <w:p w14:paraId="76B41280" w14:textId="77777777" w:rsidR="008160B0" w:rsidRPr="00C44B9C" w:rsidRDefault="008160B0" w:rsidP="00972252">
      <w:pPr>
        <w:rPr>
          <w:rFonts w:cstheme="minorHAnsi"/>
          <w:sz w:val="24"/>
          <w:szCs w:val="24"/>
        </w:rPr>
      </w:pPr>
    </w:p>
    <w:bookmarkEnd w:id="0" w:displacedByCustomXml="next"/>
    <w:bookmarkStart w:id="2" w:name="_Hlk107231050" w:displacedByCustomXml="next"/>
    <w:bookmarkStart w:id="3" w:name="_Toc106377033" w:displacedByCustomXml="next"/>
    <w:sdt>
      <w:sdtPr>
        <w:rPr>
          <w:rFonts w:asciiTheme="minorHAnsi" w:eastAsiaTheme="minorHAnsi" w:hAnsiTheme="minorHAnsi" w:cstheme="minorHAnsi"/>
          <w:color w:val="auto"/>
          <w:sz w:val="24"/>
          <w:szCs w:val="24"/>
          <w:lang w:val="en-GB"/>
        </w:rPr>
        <w:id w:val="-1455243616"/>
        <w:docPartObj>
          <w:docPartGallery w:val="Table of Contents"/>
          <w:docPartUnique/>
        </w:docPartObj>
      </w:sdtPr>
      <w:sdtEndPr>
        <w:rPr>
          <w:b/>
          <w:bCs/>
        </w:rPr>
      </w:sdtEndPr>
      <w:sdtContent>
        <w:p w14:paraId="543E4769" w14:textId="77777777" w:rsidR="00C44B9C" w:rsidRDefault="00C44B9C">
          <w:pPr>
            <w:pStyle w:val="TOCHeading"/>
            <w:rPr>
              <w:rFonts w:asciiTheme="minorHAnsi" w:eastAsiaTheme="minorHAnsi" w:hAnsiTheme="minorHAnsi" w:cstheme="minorHAnsi"/>
              <w:color w:val="auto"/>
              <w:sz w:val="24"/>
              <w:szCs w:val="24"/>
              <w:lang w:val="en-GB"/>
            </w:rPr>
          </w:pPr>
        </w:p>
        <w:p w14:paraId="249BABAC" w14:textId="77777777" w:rsidR="00C44B9C" w:rsidRDefault="00C44B9C" w:rsidP="00C44B9C"/>
        <w:p w14:paraId="72CFD68A" w14:textId="77777777" w:rsidR="00C44B9C" w:rsidRPr="00C44B9C" w:rsidRDefault="00C44B9C" w:rsidP="00C44B9C"/>
        <w:p w14:paraId="2F8683D0" w14:textId="762FB06E" w:rsidR="00A501B2" w:rsidRPr="00C44B9C" w:rsidRDefault="00BC6A40">
          <w:pPr>
            <w:rPr>
              <w:rFonts w:cstheme="minorHAnsi"/>
              <w:sz w:val="24"/>
              <w:szCs w:val="24"/>
            </w:rPr>
          </w:pPr>
        </w:p>
      </w:sdtContent>
    </w:sdt>
    <w:p w14:paraId="0A568F29" w14:textId="77777777" w:rsidR="008160B0" w:rsidRDefault="008160B0">
      <w:pPr>
        <w:rPr>
          <w:rFonts w:eastAsiaTheme="majorEastAsia" w:cstheme="minorHAnsi"/>
          <w:color w:val="4472C4" w:themeColor="accent1"/>
          <w:sz w:val="32"/>
          <w:szCs w:val="32"/>
        </w:rPr>
      </w:pPr>
      <w:bookmarkStart w:id="4" w:name="_Toc174006739"/>
      <w:r>
        <w:rPr>
          <w:rFonts w:cstheme="minorHAnsi"/>
          <w:color w:val="4472C4" w:themeColor="accent1"/>
        </w:rPr>
        <w:br w:type="page"/>
      </w:r>
    </w:p>
    <w:p w14:paraId="2B2510F6" w14:textId="7357CCBE" w:rsidR="002A7CD6" w:rsidRPr="00C44B9C" w:rsidRDefault="002A7CD6" w:rsidP="002A7CD6">
      <w:pPr>
        <w:pStyle w:val="Heading1"/>
        <w:rPr>
          <w:rFonts w:asciiTheme="minorHAnsi" w:hAnsiTheme="minorHAnsi" w:cstheme="minorHAnsi"/>
          <w:color w:val="4472C4" w:themeColor="accent1"/>
        </w:rPr>
      </w:pPr>
      <w:r w:rsidRPr="00C44B9C">
        <w:rPr>
          <w:rFonts w:asciiTheme="minorHAnsi" w:hAnsiTheme="minorHAnsi" w:cstheme="minorHAnsi"/>
          <w:color w:val="4472C4" w:themeColor="accent1"/>
        </w:rPr>
        <w:lastRenderedPageBreak/>
        <w:t>Background</w:t>
      </w:r>
      <w:bookmarkEnd w:id="4"/>
      <w:r w:rsidRPr="00C44B9C">
        <w:rPr>
          <w:rFonts w:asciiTheme="minorHAnsi" w:hAnsiTheme="minorHAnsi" w:cstheme="minorHAnsi"/>
          <w:color w:val="4472C4" w:themeColor="accent1"/>
        </w:rPr>
        <w:t xml:space="preserve"> </w:t>
      </w:r>
    </w:p>
    <w:p w14:paraId="0D7F4A51" w14:textId="77777777" w:rsidR="00C44B9C" w:rsidRDefault="00C44B9C" w:rsidP="002A7CD6">
      <w:pPr>
        <w:rPr>
          <w:rFonts w:cstheme="minorHAnsi"/>
          <w:sz w:val="24"/>
          <w:szCs w:val="24"/>
        </w:rPr>
      </w:pPr>
    </w:p>
    <w:p w14:paraId="48086CAE" w14:textId="46E333D6" w:rsidR="002A7CD6" w:rsidRPr="00C44B9C" w:rsidRDefault="00C44B9C" w:rsidP="00C44B9C">
      <w:pPr>
        <w:ind w:left="720" w:hanging="720"/>
        <w:rPr>
          <w:rFonts w:cstheme="minorHAnsi"/>
          <w:sz w:val="24"/>
          <w:szCs w:val="24"/>
        </w:rPr>
      </w:pPr>
      <w:r>
        <w:rPr>
          <w:rFonts w:cstheme="minorHAnsi"/>
          <w:sz w:val="24"/>
          <w:szCs w:val="24"/>
        </w:rPr>
        <w:t>1.</w:t>
      </w:r>
      <w:r>
        <w:rPr>
          <w:rFonts w:cstheme="minorHAnsi"/>
          <w:sz w:val="24"/>
          <w:szCs w:val="24"/>
        </w:rPr>
        <w:tab/>
      </w:r>
      <w:r w:rsidR="002A7CD6" w:rsidRPr="00C44B9C">
        <w:rPr>
          <w:rFonts w:cstheme="minorHAnsi"/>
          <w:sz w:val="24"/>
          <w:szCs w:val="24"/>
        </w:rPr>
        <w:t>Alcohol and Drug Partnerships (ADP</w:t>
      </w:r>
      <w:r>
        <w:rPr>
          <w:rFonts w:cstheme="minorHAnsi"/>
          <w:sz w:val="24"/>
          <w:szCs w:val="24"/>
        </w:rPr>
        <w:t>s</w:t>
      </w:r>
      <w:r w:rsidR="002A7CD6" w:rsidRPr="00C44B9C">
        <w:rPr>
          <w:rFonts w:cstheme="minorHAnsi"/>
          <w:sz w:val="24"/>
          <w:szCs w:val="24"/>
        </w:rPr>
        <w:t xml:space="preserve">) were established at local authority level to develop responses to alcohol and drug related problems. Membership of </w:t>
      </w:r>
      <w:r>
        <w:rPr>
          <w:rFonts w:cstheme="minorHAnsi"/>
          <w:sz w:val="24"/>
          <w:szCs w:val="24"/>
        </w:rPr>
        <w:t xml:space="preserve">the </w:t>
      </w:r>
      <w:r w:rsidR="002A7CD6" w:rsidRPr="00C44B9C">
        <w:rPr>
          <w:rFonts w:cstheme="minorHAnsi"/>
          <w:sz w:val="24"/>
          <w:szCs w:val="24"/>
        </w:rPr>
        <w:t>Edinburgh ADP (EADP) includes lead officers from Police Scotland, NHS Lothian, the Third Sector, Scottish Prison Service, and the City of Edinburgh Council</w:t>
      </w:r>
      <w:r w:rsidR="00BF4E15" w:rsidRPr="00C44B9C">
        <w:rPr>
          <w:rFonts w:cstheme="minorHAnsi"/>
          <w:sz w:val="24"/>
          <w:szCs w:val="24"/>
        </w:rPr>
        <w:t xml:space="preserve">. </w:t>
      </w:r>
    </w:p>
    <w:p w14:paraId="063E3BB6" w14:textId="23EA6BED" w:rsidR="002A7CD6" w:rsidRPr="00C44B9C" w:rsidRDefault="00C44B9C" w:rsidP="00C44B9C">
      <w:pPr>
        <w:ind w:left="720" w:hanging="720"/>
        <w:rPr>
          <w:rFonts w:cstheme="minorHAnsi"/>
          <w:color w:val="000000"/>
          <w:sz w:val="24"/>
          <w:szCs w:val="24"/>
        </w:rPr>
      </w:pPr>
      <w:r>
        <w:rPr>
          <w:rFonts w:cstheme="minorHAnsi"/>
          <w:sz w:val="24"/>
          <w:szCs w:val="24"/>
        </w:rPr>
        <w:t>2.</w:t>
      </w:r>
      <w:r>
        <w:rPr>
          <w:rFonts w:cstheme="minorHAnsi"/>
          <w:sz w:val="24"/>
          <w:szCs w:val="24"/>
        </w:rPr>
        <w:tab/>
      </w:r>
      <w:r w:rsidR="002A7CD6" w:rsidRPr="00C44B9C">
        <w:rPr>
          <w:rFonts w:cstheme="minorHAnsi"/>
          <w:sz w:val="24"/>
          <w:szCs w:val="24"/>
        </w:rPr>
        <w:t xml:space="preserve">EADP is required to submit a strategy and delivery plan to the Scottish Government. </w:t>
      </w:r>
      <w:r w:rsidR="002A7CD6" w:rsidRPr="00C44B9C">
        <w:rPr>
          <w:rFonts w:cstheme="minorHAnsi"/>
          <w:color w:val="000000"/>
          <w:sz w:val="24"/>
          <w:szCs w:val="24"/>
        </w:rPr>
        <w:t xml:space="preserve">In 2020/21, the ADP developed a 3 year strategic plan (2021-24) in response to the new national strategy, “Rights, Respect and Recovery”. </w:t>
      </w:r>
      <w:hyperlink r:id="rId11" w:history="1">
        <w:r w:rsidR="002A7CD6" w:rsidRPr="00C44B9C">
          <w:rPr>
            <w:rStyle w:val="Hyperlink"/>
            <w:rFonts w:cstheme="minorHAnsi"/>
            <w:sz w:val="24"/>
            <w:szCs w:val="24"/>
          </w:rPr>
          <w:t>https://www.edinburghadp.co.uk/wp-content/uploads/2022/06/EADP-Strategic-Plan-2021-2024-1.pdf</w:t>
        </w:r>
      </w:hyperlink>
      <w:r w:rsidR="002A7CD6" w:rsidRPr="00C44B9C">
        <w:rPr>
          <w:rFonts w:cstheme="minorHAnsi"/>
          <w:color w:val="000000"/>
          <w:sz w:val="24"/>
          <w:szCs w:val="24"/>
        </w:rPr>
        <w:t xml:space="preserve"> </w:t>
      </w:r>
    </w:p>
    <w:p w14:paraId="1C856932" w14:textId="407E4D4D" w:rsidR="002A7CD6" w:rsidRPr="00C44B9C" w:rsidRDefault="00C44B9C" w:rsidP="002A7CD6">
      <w:pPr>
        <w:rPr>
          <w:rFonts w:cstheme="minorHAnsi"/>
          <w:sz w:val="24"/>
          <w:szCs w:val="24"/>
        </w:rPr>
      </w:pPr>
      <w:r>
        <w:rPr>
          <w:rFonts w:cstheme="minorHAnsi"/>
          <w:color w:val="000000"/>
          <w:sz w:val="24"/>
          <w:szCs w:val="24"/>
        </w:rPr>
        <w:t>3,</w:t>
      </w:r>
      <w:r>
        <w:rPr>
          <w:rFonts w:cstheme="minorHAnsi"/>
          <w:color w:val="000000"/>
          <w:sz w:val="24"/>
          <w:szCs w:val="24"/>
        </w:rPr>
        <w:tab/>
      </w:r>
      <w:r w:rsidR="002A7CD6" w:rsidRPr="00C44B9C">
        <w:rPr>
          <w:rFonts w:cstheme="minorHAnsi"/>
          <w:color w:val="000000"/>
          <w:sz w:val="24"/>
          <w:szCs w:val="24"/>
        </w:rPr>
        <w:t>In line with that strategy, this document is structured into four areas:</w:t>
      </w:r>
    </w:p>
    <w:p w14:paraId="45215FDB" w14:textId="77777777" w:rsidR="002A7CD6" w:rsidRPr="00C44B9C" w:rsidRDefault="002A7CD6" w:rsidP="002A7CD6">
      <w:pPr>
        <w:numPr>
          <w:ilvl w:val="0"/>
          <w:numId w:val="3"/>
        </w:numPr>
        <w:spacing w:after="0" w:line="276" w:lineRule="auto"/>
        <w:rPr>
          <w:rFonts w:cstheme="minorHAnsi"/>
          <w:color w:val="000000"/>
          <w:sz w:val="24"/>
          <w:szCs w:val="24"/>
        </w:rPr>
      </w:pPr>
      <w:r w:rsidRPr="00C44B9C">
        <w:rPr>
          <w:rFonts w:cstheme="minorHAnsi"/>
          <w:color w:val="000000"/>
          <w:sz w:val="24"/>
          <w:szCs w:val="24"/>
        </w:rPr>
        <w:t>Prevention and Early Intervention</w:t>
      </w:r>
    </w:p>
    <w:p w14:paraId="2C673358" w14:textId="77777777" w:rsidR="002A7CD6" w:rsidRPr="00C44B9C" w:rsidRDefault="002A7CD6" w:rsidP="002A7CD6">
      <w:pPr>
        <w:numPr>
          <w:ilvl w:val="0"/>
          <w:numId w:val="3"/>
        </w:numPr>
        <w:spacing w:after="0" w:line="276" w:lineRule="auto"/>
        <w:rPr>
          <w:rFonts w:cstheme="minorHAnsi"/>
          <w:color w:val="000000"/>
          <w:sz w:val="24"/>
          <w:szCs w:val="24"/>
        </w:rPr>
      </w:pPr>
      <w:r w:rsidRPr="00C44B9C">
        <w:rPr>
          <w:rFonts w:cstheme="minorHAnsi"/>
          <w:color w:val="000000"/>
          <w:sz w:val="24"/>
          <w:szCs w:val="24"/>
        </w:rPr>
        <w:t>Developing Recovery Orientated System of Care</w:t>
      </w:r>
    </w:p>
    <w:p w14:paraId="0E298832" w14:textId="77777777" w:rsidR="002A7CD6" w:rsidRPr="00C44B9C" w:rsidRDefault="002A7CD6" w:rsidP="002A7CD6">
      <w:pPr>
        <w:numPr>
          <w:ilvl w:val="0"/>
          <w:numId w:val="3"/>
        </w:numPr>
        <w:spacing w:after="0" w:line="276" w:lineRule="auto"/>
        <w:rPr>
          <w:rFonts w:cstheme="minorHAnsi"/>
          <w:color w:val="000000"/>
          <w:sz w:val="24"/>
          <w:szCs w:val="24"/>
        </w:rPr>
      </w:pPr>
      <w:r w:rsidRPr="00C44B9C">
        <w:rPr>
          <w:rFonts w:cstheme="minorHAnsi"/>
          <w:color w:val="000000"/>
          <w:sz w:val="24"/>
          <w:szCs w:val="24"/>
        </w:rPr>
        <w:t>Getting it right for Children, Young People and Families</w:t>
      </w:r>
    </w:p>
    <w:p w14:paraId="6A5A95BE" w14:textId="77777777" w:rsidR="002A7CD6" w:rsidRPr="00C44B9C" w:rsidRDefault="002A7CD6" w:rsidP="002A7CD6">
      <w:pPr>
        <w:numPr>
          <w:ilvl w:val="0"/>
          <w:numId w:val="3"/>
        </w:numPr>
        <w:spacing w:after="0" w:line="276" w:lineRule="auto"/>
        <w:rPr>
          <w:rFonts w:cstheme="minorHAnsi"/>
          <w:color w:val="000000"/>
          <w:sz w:val="24"/>
          <w:szCs w:val="24"/>
        </w:rPr>
      </w:pPr>
      <w:r w:rsidRPr="00C44B9C">
        <w:rPr>
          <w:rFonts w:cstheme="minorHAnsi"/>
          <w:color w:val="000000"/>
          <w:sz w:val="24"/>
          <w:szCs w:val="24"/>
        </w:rPr>
        <w:t>A Public Health Approach to Justice</w:t>
      </w:r>
    </w:p>
    <w:p w14:paraId="302F80FA" w14:textId="77777777" w:rsidR="002A7CD6" w:rsidRPr="00C44B9C" w:rsidRDefault="002A7CD6" w:rsidP="002A7CD6">
      <w:pPr>
        <w:spacing w:after="0" w:line="276" w:lineRule="auto"/>
        <w:ind w:left="720"/>
        <w:rPr>
          <w:rFonts w:cstheme="minorHAnsi"/>
          <w:color w:val="000000"/>
          <w:sz w:val="24"/>
          <w:szCs w:val="24"/>
        </w:rPr>
      </w:pPr>
    </w:p>
    <w:p w14:paraId="10794644" w14:textId="77777777" w:rsidR="002A7CD6" w:rsidRDefault="002A7CD6" w:rsidP="00C44B9C">
      <w:pPr>
        <w:ind w:firstLine="720"/>
        <w:rPr>
          <w:rFonts w:cstheme="minorHAnsi"/>
          <w:sz w:val="24"/>
          <w:szCs w:val="24"/>
        </w:rPr>
      </w:pPr>
      <w:r w:rsidRPr="00C44B9C">
        <w:rPr>
          <w:rFonts w:cstheme="minorHAnsi"/>
          <w:sz w:val="24"/>
          <w:szCs w:val="24"/>
        </w:rPr>
        <w:t>These areas have been used as the framework for this annual report.</w:t>
      </w:r>
    </w:p>
    <w:p w14:paraId="32615C2A" w14:textId="357ADD67" w:rsidR="002763EA" w:rsidRPr="00C44B9C" w:rsidRDefault="002763EA" w:rsidP="007C4084">
      <w:pPr>
        <w:pStyle w:val="Title"/>
        <w:rPr>
          <w:rFonts w:asciiTheme="minorHAnsi" w:hAnsiTheme="minorHAnsi" w:cstheme="minorHAnsi"/>
          <w:b/>
          <w:bCs/>
          <w:color w:val="4472C4" w:themeColor="accent1"/>
          <w:sz w:val="32"/>
          <w:szCs w:val="32"/>
        </w:rPr>
      </w:pPr>
      <w:bookmarkStart w:id="5" w:name="_Toc174006740"/>
      <w:r w:rsidRPr="00C44B9C">
        <w:rPr>
          <w:rFonts w:asciiTheme="minorHAnsi" w:hAnsiTheme="minorHAnsi" w:cstheme="minorHAnsi"/>
          <w:b/>
          <w:bCs/>
          <w:color w:val="4472C4" w:themeColor="accent1"/>
          <w:sz w:val="32"/>
          <w:szCs w:val="32"/>
        </w:rPr>
        <w:t>Developments and Progress in 2023-24</w:t>
      </w:r>
      <w:bookmarkEnd w:id="5"/>
    </w:p>
    <w:bookmarkEnd w:id="3"/>
    <w:bookmarkEnd w:id="2"/>
    <w:p w14:paraId="28BD07CA" w14:textId="77777777" w:rsidR="00C44B9C" w:rsidRDefault="00C44B9C" w:rsidP="007C4084">
      <w:pPr>
        <w:pStyle w:val="Title"/>
        <w:rPr>
          <w:rFonts w:asciiTheme="minorHAnsi" w:hAnsiTheme="minorHAnsi" w:cstheme="minorHAnsi"/>
          <w:sz w:val="24"/>
          <w:szCs w:val="24"/>
        </w:rPr>
      </w:pPr>
    </w:p>
    <w:p w14:paraId="25CE6AE7" w14:textId="1F1DF5DD" w:rsidR="00877D15" w:rsidRDefault="00877D15" w:rsidP="007C4084">
      <w:pPr>
        <w:pStyle w:val="Title"/>
        <w:rPr>
          <w:rFonts w:asciiTheme="minorHAnsi" w:hAnsiTheme="minorHAnsi" w:cstheme="minorHAnsi"/>
          <w:b/>
          <w:bCs/>
          <w:color w:val="4472C4" w:themeColor="accent1"/>
          <w:sz w:val="28"/>
          <w:szCs w:val="28"/>
        </w:rPr>
      </w:pPr>
      <w:bookmarkStart w:id="6" w:name="_Toc174006741"/>
      <w:r w:rsidRPr="00C44B9C">
        <w:rPr>
          <w:rFonts w:asciiTheme="minorHAnsi" w:hAnsiTheme="minorHAnsi" w:cstheme="minorHAnsi"/>
          <w:b/>
          <w:bCs/>
          <w:color w:val="4472C4" w:themeColor="accent1"/>
          <w:sz w:val="28"/>
          <w:szCs w:val="28"/>
        </w:rPr>
        <w:t>Prevention and Early Intervention</w:t>
      </w:r>
      <w:bookmarkEnd w:id="6"/>
      <w:r w:rsidRPr="00C44B9C">
        <w:rPr>
          <w:rFonts w:asciiTheme="minorHAnsi" w:hAnsiTheme="minorHAnsi" w:cstheme="minorHAnsi"/>
          <w:b/>
          <w:bCs/>
          <w:color w:val="4472C4" w:themeColor="accent1"/>
          <w:sz w:val="28"/>
          <w:szCs w:val="28"/>
        </w:rPr>
        <w:t xml:space="preserve"> </w:t>
      </w:r>
    </w:p>
    <w:p w14:paraId="7AE7DC28" w14:textId="435E9DE6" w:rsidR="00877D15" w:rsidRPr="00C44B9C" w:rsidRDefault="00C44B9C" w:rsidP="00C44B9C">
      <w:pPr>
        <w:ind w:left="360" w:hanging="360"/>
        <w:rPr>
          <w:rFonts w:cstheme="minorHAnsi"/>
          <w:sz w:val="24"/>
          <w:szCs w:val="24"/>
        </w:rPr>
      </w:pPr>
      <w:r>
        <w:rPr>
          <w:rFonts w:cstheme="minorHAnsi"/>
          <w:sz w:val="24"/>
          <w:szCs w:val="24"/>
        </w:rPr>
        <w:t>4.</w:t>
      </w:r>
      <w:r>
        <w:rPr>
          <w:rFonts w:cstheme="minorHAnsi"/>
          <w:sz w:val="24"/>
          <w:szCs w:val="24"/>
        </w:rPr>
        <w:tab/>
        <w:t xml:space="preserve">The </w:t>
      </w:r>
      <w:r w:rsidR="00877D15" w:rsidRPr="00C44B9C">
        <w:rPr>
          <w:rFonts w:cstheme="minorHAnsi"/>
          <w:sz w:val="24"/>
          <w:szCs w:val="24"/>
        </w:rPr>
        <w:t xml:space="preserve">EADP strategy includes </w:t>
      </w:r>
      <w:r>
        <w:rPr>
          <w:rFonts w:cstheme="minorHAnsi"/>
          <w:sz w:val="24"/>
          <w:szCs w:val="24"/>
        </w:rPr>
        <w:t xml:space="preserve">a range of </w:t>
      </w:r>
      <w:r w:rsidR="00877D15" w:rsidRPr="00C44B9C">
        <w:rPr>
          <w:rFonts w:cstheme="minorHAnsi"/>
          <w:sz w:val="24"/>
          <w:szCs w:val="24"/>
        </w:rPr>
        <w:t xml:space="preserve">prevention and early intervention strategies which are vital to reduce the long term impact of substance use. </w:t>
      </w:r>
      <w:r w:rsidR="0050032C" w:rsidRPr="00C44B9C">
        <w:rPr>
          <w:rFonts w:cstheme="minorHAnsi"/>
          <w:sz w:val="24"/>
          <w:szCs w:val="24"/>
        </w:rPr>
        <w:t xml:space="preserve">The </w:t>
      </w:r>
      <w:r w:rsidR="00877D15" w:rsidRPr="00C44B9C">
        <w:rPr>
          <w:rFonts w:cstheme="minorHAnsi"/>
          <w:sz w:val="24"/>
          <w:szCs w:val="24"/>
        </w:rPr>
        <w:t xml:space="preserve">approach includes </w:t>
      </w:r>
    </w:p>
    <w:p w14:paraId="2BF5EC3C" w14:textId="118F59C3" w:rsidR="00877D15" w:rsidRPr="00C44B9C" w:rsidRDefault="00877D15" w:rsidP="002A7CD6">
      <w:pPr>
        <w:pStyle w:val="ListParagraph"/>
        <w:numPr>
          <w:ilvl w:val="0"/>
          <w:numId w:val="15"/>
        </w:numPr>
        <w:rPr>
          <w:rFonts w:cstheme="minorHAnsi"/>
          <w:sz w:val="24"/>
          <w:szCs w:val="24"/>
        </w:rPr>
      </w:pPr>
      <w:r w:rsidRPr="00C44B9C">
        <w:rPr>
          <w:rFonts w:cstheme="minorHAnsi"/>
          <w:sz w:val="24"/>
          <w:szCs w:val="24"/>
        </w:rPr>
        <w:t xml:space="preserve">Providing education, </w:t>
      </w:r>
      <w:r w:rsidR="00BF4E15" w:rsidRPr="00C44B9C">
        <w:rPr>
          <w:rFonts w:cstheme="minorHAnsi"/>
          <w:sz w:val="24"/>
          <w:szCs w:val="24"/>
        </w:rPr>
        <w:t>information,</w:t>
      </w:r>
      <w:r w:rsidRPr="00C44B9C">
        <w:rPr>
          <w:rFonts w:cstheme="minorHAnsi"/>
          <w:sz w:val="24"/>
          <w:szCs w:val="24"/>
        </w:rPr>
        <w:t xml:space="preserve"> and advice for young people </w:t>
      </w:r>
    </w:p>
    <w:p w14:paraId="14747D76" w14:textId="574B7990" w:rsidR="00877D15" w:rsidRPr="00C44B9C" w:rsidRDefault="00877D15" w:rsidP="002A7CD6">
      <w:pPr>
        <w:pStyle w:val="ListParagraph"/>
        <w:numPr>
          <w:ilvl w:val="0"/>
          <w:numId w:val="15"/>
        </w:numPr>
        <w:rPr>
          <w:rFonts w:cstheme="minorHAnsi"/>
          <w:sz w:val="24"/>
          <w:szCs w:val="24"/>
        </w:rPr>
      </w:pPr>
      <w:r w:rsidRPr="00C44B9C">
        <w:rPr>
          <w:rFonts w:cstheme="minorHAnsi"/>
          <w:sz w:val="24"/>
          <w:szCs w:val="24"/>
        </w:rPr>
        <w:t>Offering early access to support and treatment where required (young substance use services)</w:t>
      </w:r>
    </w:p>
    <w:p w14:paraId="53FDCC2B" w14:textId="1BDB624A" w:rsidR="00877D15" w:rsidRPr="00C44B9C" w:rsidRDefault="00877D15" w:rsidP="002A7CD6">
      <w:pPr>
        <w:pStyle w:val="ListParagraph"/>
        <w:numPr>
          <w:ilvl w:val="0"/>
          <w:numId w:val="15"/>
        </w:numPr>
        <w:rPr>
          <w:rFonts w:cstheme="minorHAnsi"/>
          <w:sz w:val="24"/>
          <w:szCs w:val="24"/>
        </w:rPr>
      </w:pPr>
      <w:r w:rsidRPr="00C44B9C">
        <w:rPr>
          <w:rFonts w:cstheme="minorHAnsi"/>
          <w:sz w:val="24"/>
          <w:szCs w:val="24"/>
        </w:rPr>
        <w:t>addressing the supply of harmful drug</w:t>
      </w:r>
      <w:r w:rsidR="00C44B9C">
        <w:rPr>
          <w:rFonts w:cstheme="minorHAnsi"/>
          <w:sz w:val="24"/>
          <w:szCs w:val="24"/>
        </w:rPr>
        <w:t>s</w:t>
      </w:r>
    </w:p>
    <w:p w14:paraId="52E7B9C4" w14:textId="17BD12DB" w:rsidR="00877D15" w:rsidRPr="00864715" w:rsidRDefault="00877D15" w:rsidP="007C4084">
      <w:pPr>
        <w:pStyle w:val="Heading1"/>
        <w:rPr>
          <w:rFonts w:asciiTheme="minorHAnsi" w:hAnsiTheme="minorHAnsi" w:cstheme="minorHAnsi"/>
          <w:b/>
          <w:bCs/>
          <w:sz w:val="24"/>
          <w:szCs w:val="24"/>
        </w:rPr>
      </w:pPr>
      <w:bookmarkStart w:id="7" w:name="_Toc174006742"/>
      <w:r w:rsidRPr="00864715">
        <w:rPr>
          <w:rFonts w:asciiTheme="minorHAnsi" w:hAnsiTheme="minorHAnsi" w:cstheme="minorHAnsi"/>
          <w:b/>
          <w:bCs/>
          <w:sz w:val="24"/>
          <w:szCs w:val="24"/>
        </w:rPr>
        <w:t xml:space="preserve">Providing </w:t>
      </w:r>
      <w:r w:rsidR="000F5DB5" w:rsidRPr="00864715">
        <w:rPr>
          <w:rFonts w:asciiTheme="minorHAnsi" w:hAnsiTheme="minorHAnsi" w:cstheme="minorHAnsi"/>
          <w:b/>
          <w:bCs/>
          <w:sz w:val="24"/>
          <w:szCs w:val="24"/>
        </w:rPr>
        <w:t>E</w:t>
      </w:r>
      <w:r w:rsidRPr="00864715">
        <w:rPr>
          <w:rFonts w:asciiTheme="minorHAnsi" w:hAnsiTheme="minorHAnsi" w:cstheme="minorHAnsi"/>
          <w:b/>
          <w:bCs/>
          <w:sz w:val="24"/>
          <w:szCs w:val="24"/>
        </w:rPr>
        <w:t xml:space="preserve">ducation, </w:t>
      </w:r>
      <w:r w:rsidR="000F5DB5" w:rsidRPr="00864715">
        <w:rPr>
          <w:rFonts w:asciiTheme="minorHAnsi" w:hAnsiTheme="minorHAnsi" w:cstheme="minorHAnsi"/>
          <w:b/>
          <w:bCs/>
          <w:sz w:val="24"/>
          <w:szCs w:val="24"/>
        </w:rPr>
        <w:t>I</w:t>
      </w:r>
      <w:r w:rsidRPr="00864715">
        <w:rPr>
          <w:rFonts w:asciiTheme="minorHAnsi" w:hAnsiTheme="minorHAnsi" w:cstheme="minorHAnsi"/>
          <w:b/>
          <w:bCs/>
          <w:sz w:val="24"/>
          <w:szCs w:val="24"/>
        </w:rPr>
        <w:t xml:space="preserve">nformation and </w:t>
      </w:r>
      <w:r w:rsidR="000F5DB5" w:rsidRPr="00864715">
        <w:rPr>
          <w:rFonts w:asciiTheme="minorHAnsi" w:hAnsiTheme="minorHAnsi" w:cstheme="minorHAnsi"/>
          <w:b/>
          <w:bCs/>
          <w:sz w:val="24"/>
          <w:szCs w:val="24"/>
        </w:rPr>
        <w:t>A</w:t>
      </w:r>
      <w:r w:rsidRPr="00864715">
        <w:rPr>
          <w:rFonts w:asciiTheme="minorHAnsi" w:hAnsiTheme="minorHAnsi" w:cstheme="minorHAnsi"/>
          <w:b/>
          <w:bCs/>
          <w:sz w:val="24"/>
          <w:szCs w:val="24"/>
        </w:rPr>
        <w:t xml:space="preserve">dvice for </w:t>
      </w:r>
      <w:r w:rsidR="000F5DB5" w:rsidRPr="00864715">
        <w:rPr>
          <w:rFonts w:asciiTheme="minorHAnsi" w:hAnsiTheme="minorHAnsi" w:cstheme="minorHAnsi"/>
          <w:b/>
          <w:bCs/>
          <w:sz w:val="24"/>
          <w:szCs w:val="24"/>
        </w:rPr>
        <w:t>Y</w:t>
      </w:r>
      <w:r w:rsidRPr="00864715">
        <w:rPr>
          <w:rFonts w:asciiTheme="minorHAnsi" w:hAnsiTheme="minorHAnsi" w:cstheme="minorHAnsi"/>
          <w:b/>
          <w:bCs/>
          <w:sz w:val="24"/>
          <w:szCs w:val="24"/>
        </w:rPr>
        <w:t xml:space="preserve">oung </w:t>
      </w:r>
      <w:r w:rsidR="000F5DB5" w:rsidRPr="00864715">
        <w:rPr>
          <w:rFonts w:asciiTheme="minorHAnsi" w:hAnsiTheme="minorHAnsi" w:cstheme="minorHAnsi"/>
          <w:b/>
          <w:bCs/>
          <w:sz w:val="24"/>
          <w:szCs w:val="24"/>
        </w:rPr>
        <w:t>P</w:t>
      </w:r>
      <w:r w:rsidRPr="00864715">
        <w:rPr>
          <w:rFonts w:asciiTheme="minorHAnsi" w:hAnsiTheme="minorHAnsi" w:cstheme="minorHAnsi"/>
          <w:b/>
          <w:bCs/>
          <w:sz w:val="24"/>
          <w:szCs w:val="24"/>
        </w:rPr>
        <w:t>eople</w:t>
      </w:r>
      <w:bookmarkEnd w:id="7"/>
      <w:r w:rsidRPr="00864715">
        <w:rPr>
          <w:rFonts w:asciiTheme="minorHAnsi" w:hAnsiTheme="minorHAnsi" w:cstheme="minorHAnsi"/>
          <w:b/>
          <w:bCs/>
          <w:sz w:val="24"/>
          <w:szCs w:val="24"/>
        </w:rPr>
        <w:t xml:space="preserve"> </w:t>
      </w:r>
    </w:p>
    <w:p w14:paraId="1ECE668D" w14:textId="231405CC" w:rsidR="00877D15" w:rsidRPr="00C44B9C" w:rsidRDefault="00C44B9C" w:rsidP="00C44B9C">
      <w:pPr>
        <w:ind w:left="720" w:hanging="720"/>
        <w:rPr>
          <w:rFonts w:cstheme="minorHAnsi"/>
          <w:sz w:val="24"/>
          <w:szCs w:val="24"/>
        </w:rPr>
      </w:pPr>
      <w:r>
        <w:rPr>
          <w:rFonts w:cstheme="minorHAnsi"/>
          <w:sz w:val="24"/>
          <w:szCs w:val="24"/>
        </w:rPr>
        <w:t>5.</w:t>
      </w:r>
      <w:r>
        <w:rPr>
          <w:rFonts w:cstheme="minorHAnsi"/>
          <w:sz w:val="24"/>
          <w:szCs w:val="24"/>
        </w:rPr>
        <w:tab/>
      </w:r>
      <w:r w:rsidR="00877D15" w:rsidRPr="00C44B9C">
        <w:rPr>
          <w:rFonts w:cstheme="minorHAnsi"/>
          <w:sz w:val="24"/>
          <w:szCs w:val="24"/>
        </w:rPr>
        <w:t>The Junction delivers a long established and comprehensive package of drug awareness programmes for young people from Primary 7 to senior phase, which meets with Government and EADP outcomes for prevention and early intervention. The drug education and awareness events are age</w:t>
      </w:r>
      <w:r w:rsidR="000F5DB5" w:rsidRPr="00C44B9C">
        <w:rPr>
          <w:rFonts w:cstheme="minorHAnsi"/>
          <w:sz w:val="24"/>
          <w:szCs w:val="24"/>
        </w:rPr>
        <w:t xml:space="preserve">- </w:t>
      </w:r>
      <w:r w:rsidR="00877D15" w:rsidRPr="00C44B9C">
        <w:rPr>
          <w:rFonts w:cstheme="minorHAnsi"/>
          <w:sz w:val="24"/>
          <w:szCs w:val="24"/>
        </w:rPr>
        <w:t>and stage</w:t>
      </w:r>
      <w:r w:rsidR="000F5DB5" w:rsidRPr="00C44B9C">
        <w:rPr>
          <w:rFonts w:cstheme="minorHAnsi"/>
          <w:sz w:val="24"/>
          <w:szCs w:val="24"/>
        </w:rPr>
        <w:t>-</w:t>
      </w:r>
      <w:r w:rsidR="00877D15" w:rsidRPr="00C44B9C">
        <w:rPr>
          <w:rFonts w:cstheme="minorHAnsi"/>
          <w:sz w:val="24"/>
          <w:szCs w:val="24"/>
        </w:rPr>
        <w:t>appropriate and cover all aspects of drugs and their use ensuring the programmes keep up to date with current drug trends. In total 108 sessions were delivered to 756 young people with 1,712 contacts.</w:t>
      </w:r>
    </w:p>
    <w:p w14:paraId="6F40FA99" w14:textId="34730755" w:rsidR="00877D15" w:rsidRPr="00C44B9C" w:rsidRDefault="00C44B9C" w:rsidP="00C44B9C">
      <w:pPr>
        <w:ind w:left="720" w:hanging="720"/>
        <w:rPr>
          <w:rFonts w:cstheme="minorHAnsi"/>
          <w:sz w:val="24"/>
          <w:szCs w:val="24"/>
        </w:rPr>
      </w:pPr>
      <w:r>
        <w:rPr>
          <w:rFonts w:cstheme="minorHAnsi"/>
          <w:sz w:val="24"/>
          <w:szCs w:val="24"/>
        </w:rPr>
        <w:t>6.</w:t>
      </w:r>
      <w:r>
        <w:rPr>
          <w:rFonts w:cstheme="minorHAnsi"/>
          <w:sz w:val="24"/>
          <w:szCs w:val="24"/>
        </w:rPr>
        <w:tab/>
        <w:t xml:space="preserve">The </w:t>
      </w:r>
      <w:r w:rsidR="00877D15" w:rsidRPr="00C44B9C">
        <w:rPr>
          <w:rFonts w:cstheme="minorHAnsi"/>
          <w:sz w:val="24"/>
          <w:szCs w:val="24"/>
        </w:rPr>
        <w:t xml:space="preserve">Fast Forward Going Forward service delivers early intervention/prevention sessions focusing on risk-taking behaviours to young people with the aim of supporting them to make informed choices about their own health and wellbeing. </w:t>
      </w:r>
      <w:r>
        <w:rPr>
          <w:rFonts w:cstheme="minorHAnsi"/>
          <w:sz w:val="24"/>
          <w:szCs w:val="24"/>
        </w:rPr>
        <w:lastRenderedPageBreak/>
        <w:t xml:space="preserve">Young people are </w:t>
      </w:r>
      <w:r w:rsidRPr="00C44B9C">
        <w:rPr>
          <w:rFonts w:cstheme="minorHAnsi"/>
          <w:sz w:val="24"/>
          <w:szCs w:val="24"/>
        </w:rPr>
        <w:t>provided</w:t>
      </w:r>
      <w:r w:rsidR="00877D15" w:rsidRPr="00C44B9C">
        <w:rPr>
          <w:rFonts w:cstheme="minorHAnsi"/>
          <w:sz w:val="24"/>
          <w:szCs w:val="24"/>
        </w:rPr>
        <w:t xml:space="preserve"> with accurate information about risk-taking behaviours and encouraged to reflect on their own health and wellbeing, alongside the health and wellbeing of </w:t>
      </w:r>
      <w:r w:rsidR="00BF4E15" w:rsidRPr="00C44B9C">
        <w:rPr>
          <w:rFonts w:cstheme="minorHAnsi"/>
          <w:sz w:val="24"/>
          <w:szCs w:val="24"/>
        </w:rPr>
        <w:t>others.</w:t>
      </w:r>
      <w:r w:rsidR="00877D15" w:rsidRPr="00C44B9C">
        <w:rPr>
          <w:rFonts w:cstheme="minorHAnsi"/>
          <w:sz w:val="24"/>
          <w:szCs w:val="24"/>
        </w:rPr>
        <w:t xml:space="preserve"> The service has excellent links with schools, youth clubs and other settings where young people meet and offers the programme to any service which identifies a need for young people to engage with it.</w:t>
      </w:r>
    </w:p>
    <w:p w14:paraId="2ADAB572" w14:textId="6DE933E2" w:rsidR="00877D15" w:rsidRPr="00864715" w:rsidRDefault="00877D15" w:rsidP="007C4084">
      <w:pPr>
        <w:pStyle w:val="Heading1"/>
        <w:rPr>
          <w:rFonts w:asciiTheme="minorHAnsi" w:hAnsiTheme="minorHAnsi" w:cstheme="minorHAnsi"/>
          <w:b/>
          <w:bCs/>
          <w:sz w:val="24"/>
          <w:szCs w:val="24"/>
        </w:rPr>
      </w:pPr>
      <w:bookmarkStart w:id="8" w:name="_Toc174006743"/>
      <w:r w:rsidRPr="00864715">
        <w:rPr>
          <w:rFonts w:asciiTheme="minorHAnsi" w:hAnsiTheme="minorHAnsi" w:cstheme="minorHAnsi"/>
          <w:b/>
          <w:bCs/>
          <w:sz w:val="24"/>
          <w:szCs w:val="24"/>
        </w:rPr>
        <w:t>Early access to support and treatment where required (young people’s substance use services)</w:t>
      </w:r>
      <w:bookmarkEnd w:id="8"/>
    </w:p>
    <w:p w14:paraId="236FA59E" w14:textId="0CF940FC" w:rsidR="00877D15" w:rsidRPr="00C44B9C" w:rsidRDefault="00EA1EE3" w:rsidP="00EA1EE3">
      <w:pPr>
        <w:ind w:left="720" w:hanging="720"/>
        <w:rPr>
          <w:rFonts w:cstheme="minorHAnsi"/>
          <w:sz w:val="24"/>
          <w:szCs w:val="24"/>
        </w:rPr>
      </w:pPr>
      <w:r>
        <w:rPr>
          <w:rFonts w:cstheme="minorHAnsi"/>
          <w:sz w:val="24"/>
          <w:szCs w:val="24"/>
        </w:rPr>
        <w:t>7.</w:t>
      </w:r>
      <w:r>
        <w:rPr>
          <w:rFonts w:cstheme="minorHAnsi"/>
          <w:sz w:val="24"/>
          <w:szCs w:val="24"/>
        </w:rPr>
        <w:tab/>
      </w:r>
      <w:r w:rsidR="00877D15" w:rsidRPr="00C44B9C">
        <w:rPr>
          <w:rFonts w:cstheme="minorHAnsi"/>
          <w:sz w:val="24"/>
          <w:szCs w:val="24"/>
        </w:rPr>
        <w:t>The EADP approach to early intervention focusses on provision of a range of services for young people affected by substance use. Th</w:t>
      </w:r>
      <w:r w:rsidR="000F5DB5" w:rsidRPr="00C44B9C">
        <w:rPr>
          <w:rFonts w:cstheme="minorHAnsi"/>
          <w:sz w:val="24"/>
          <w:szCs w:val="24"/>
        </w:rPr>
        <w:t>i</w:t>
      </w:r>
      <w:r w:rsidR="00877D15" w:rsidRPr="00C44B9C">
        <w:rPr>
          <w:rFonts w:cstheme="minorHAnsi"/>
          <w:sz w:val="24"/>
          <w:szCs w:val="24"/>
        </w:rPr>
        <w:t>s work is co-ordinated by Young People’s Substance Use Services (YPSUS), a partnership between different services supported by a practice group which shares information on trends approaches</w:t>
      </w:r>
      <w:r w:rsidR="000F5DB5" w:rsidRPr="00C44B9C">
        <w:rPr>
          <w:rFonts w:cstheme="minorHAnsi"/>
          <w:sz w:val="24"/>
          <w:szCs w:val="24"/>
        </w:rPr>
        <w:t xml:space="preserve"> and </w:t>
      </w:r>
      <w:r w:rsidR="00877D15" w:rsidRPr="00C44B9C">
        <w:rPr>
          <w:rFonts w:cstheme="minorHAnsi"/>
          <w:sz w:val="24"/>
          <w:szCs w:val="24"/>
        </w:rPr>
        <w:t xml:space="preserve">practice developments and </w:t>
      </w:r>
      <w:r w:rsidR="000F5DB5" w:rsidRPr="00C44B9C">
        <w:rPr>
          <w:rFonts w:cstheme="minorHAnsi"/>
          <w:sz w:val="24"/>
          <w:szCs w:val="24"/>
        </w:rPr>
        <w:t xml:space="preserve">which </w:t>
      </w:r>
      <w:r w:rsidR="00877D15" w:rsidRPr="00C44B9C">
        <w:rPr>
          <w:rFonts w:cstheme="minorHAnsi"/>
          <w:sz w:val="24"/>
          <w:szCs w:val="24"/>
        </w:rPr>
        <w:t>co-ordinates support options.</w:t>
      </w:r>
    </w:p>
    <w:p w14:paraId="0D3151A7" w14:textId="6DADEF28" w:rsidR="00877D15" w:rsidRPr="00C44B9C" w:rsidRDefault="00EA1EE3" w:rsidP="00EA1EE3">
      <w:pPr>
        <w:ind w:left="720" w:hanging="720"/>
        <w:rPr>
          <w:rFonts w:cstheme="minorHAnsi"/>
          <w:sz w:val="24"/>
          <w:szCs w:val="24"/>
        </w:rPr>
      </w:pPr>
      <w:r>
        <w:rPr>
          <w:rFonts w:cstheme="minorHAnsi"/>
          <w:sz w:val="24"/>
          <w:szCs w:val="24"/>
        </w:rPr>
        <w:t>8.</w:t>
      </w:r>
      <w:r>
        <w:rPr>
          <w:rFonts w:cstheme="minorHAnsi"/>
          <w:sz w:val="24"/>
          <w:szCs w:val="24"/>
        </w:rPr>
        <w:tab/>
      </w:r>
      <w:r w:rsidR="00877D15" w:rsidRPr="00C44B9C">
        <w:rPr>
          <w:rFonts w:cstheme="minorHAnsi"/>
          <w:sz w:val="24"/>
          <w:szCs w:val="24"/>
        </w:rPr>
        <w:t>YPSUS provides an integrated care pathway for young people, aged 12-19 affected by substance use. The support is holistic, rights</w:t>
      </w:r>
      <w:r w:rsidR="000F5DB5" w:rsidRPr="00C44B9C">
        <w:rPr>
          <w:rFonts w:cstheme="minorHAnsi"/>
          <w:sz w:val="24"/>
          <w:szCs w:val="24"/>
        </w:rPr>
        <w:t>-</w:t>
      </w:r>
      <w:r w:rsidR="00877D15" w:rsidRPr="00C44B9C">
        <w:rPr>
          <w:rFonts w:cstheme="minorHAnsi"/>
          <w:sz w:val="24"/>
          <w:szCs w:val="24"/>
        </w:rPr>
        <w:t>based and adapted to support individual young people. The pathway includes</w:t>
      </w:r>
      <w:r>
        <w:rPr>
          <w:rFonts w:cstheme="minorHAnsi"/>
          <w:sz w:val="24"/>
          <w:szCs w:val="24"/>
        </w:rPr>
        <w:t>:</w:t>
      </w:r>
      <w:r w:rsidR="00877D15" w:rsidRPr="00C44B9C">
        <w:rPr>
          <w:rFonts w:cstheme="minorHAnsi"/>
          <w:sz w:val="24"/>
          <w:szCs w:val="24"/>
        </w:rPr>
        <w:t xml:space="preserve"> </w:t>
      </w:r>
    </w:p>
    <w:p w14:paraId="38163070" w14:textId="13129817" w:rsidR="00877D15" w:rsidRPr="00EA1EE3" w:rsidRDefault="000F5DB5" w:rsidP="00EA1EE3">
      <w:pPr>
        <w:pStyle w:val="ListParagraph"/>
        <w:numPr>
          <w:ilvl w:val="0"/>
          <w:numId w:val="20"/>
        </w:numPr>
        <w:rPr>
          <w:rFonts w:cstheme="minorHAnsi"/>
          <w:sz w:val="24"/>
          <w:szCs w:val="24"/>
        </w:rPr>
      </w:pPr>
      <w:r w:rsidRPr="00EA1EE3">
        <w:rPr>
          <w:rFonts w:cstheme="minorHAnsi"/>
          <w:sz w:val="24"/>
          <w:szCs w:val="24"/>
        </w:rPr>
        <w:t>L</w:t>
      </w:r>
      <w:r w:rsidR="00877D15" w:rsidRPr="00EA1EE3">
        <w:rPr>
          <w:rFonts w:cstheme="minorHAnsi"/>
          <w:sz w:val="24"/>
          <w:szCs w:val="24"/>
        </w:rPr>
        <w:t xml:space="preserve">ow </w:t>
      </w:r>
      <w:r w:rsidRPr="00EA1EE3">
        <w:rPr>
          <w:rFonts w:cstheme="minorHAnsi"/>
          <w:sz w:val="24"/>
          <w:szCs w:val="24"/>
        </w:rPr>
        <w:t>T</w:t>
      </w:r>
      <w:r w:rsidR="00877D15" w:rsidRPr="00EA1EE3">
        <w:rPr>
          <w:rFonts w:cstheme="minorHAnsi"/>
          <w:sz w:val="24"/>
          <w:szCs w:val="24"/>
        </w:rPr>
        <w:t xml:space="preserve">hreshold </w:t>
      </w:r>
      <w:r w:rsidRPr="00EA1EE3">
        <w:rPr>
          <w:rFonts w:cstheme="minorHAnsi"/>
          <w:sz w:val="24"/>
          <w:szCs w:val="24"/>
        </w:rPr>
        <w:t>a</w:t>
      </w:r>
      <w:r w:rsidR="00877D15" w:rsidRPr="00EA1EE3">
        <w:rPr>
          <w:rFonts w:cstheme="minorHAnsi"/>
          <w:sz w:val="24"/>
          <w:szCs w:val="24"/>
        </w:rPr>
        <w:t>ccess provided by Crew and The Junction</w:t>
      </w:r>
    </w:p>
    <w:p w14:paraId="464CF814" w14:textId="7EB8C97B" w:rsidR="00877D15" w:rsidRPr="00EA1EE3" w:rsidRDefault="00877D15" w:rsidP="00EA1EE3">
      <w:pPr>
        <w:pStyle w:val="ListParagraph"/>
        <w:numPr>
          <w:ilvl w:val="0"/>
          <w:numId w:val="20"/>
        </w:numPr>
        <w:rPr>
          <w:rFonts w:cstheme="minorHAnsi"/>
          <w:sz w:val="24"/>
          <w:szCs w:val="24"/>
        </w:rPr>
      </w:pPr>
      <w:r w:rsidRPr="00EA1EE3">
        <w:rPr>
          <w:rFonts w:cstheme="minorHAnsi"/>
          <w:sz w:val="24"/>
          <w:szCs w:val="24"/>
        </w:rPr>
        <w:t xml:space="preserve">Individual support and </w:t>
      </w:r>
      <w:r w:rsidR="00EA1EE3" w:rsidRPr="00EA1EE3">
        <w:rPr>
          <w:rFonts w:cstheme="minorHAnsi"/>
          <w:sz w:val="24"/>
          <w:szCs w:val="24"/>
        </w:rPr>
        <w:t xml:space="preserve">treatment </w:t>
      </w:r>
      <w:r w:rsidR="00BF4E15">
        <w:rPr>
          <w:rFonts w:cstheme="minorHAnsi"/>
          <w:sz w:val="24"/>
          <w:szCs w:val="24"/>
        </w:rPr>
        <w:t xml:space="preserve">- </w:t>
      </w:r>
      <w:r w:rsidR="00BF4E15" w:rsidRPr="00EA1EE3">
        <w:rPr>
          <w:rFonts w:cstheme="minorHAnsi"/>
          <w:sz w:val="24"/>
          <w:szCs w:val="24"/>
        </w:rPr>
        <w:t>interventions</w:t>
      </w:r>
      <w:r w:rsidRPr="00EA1EE3">
        <w:rPr>
          <w:rFonts w:cstheme="minorHAnsi"/>
          <w:sz w:val="24"/>
          <w:szCs w:val="24"/>
        </w:rPr>
        <w:t xml:space="preserve"> for young people provided by The Junction and Circle</w:t>
      </w:r>
    </w:p>
    <w:p w14:paraId="11D5E45F" w14:textId="5E8D419A" w:rsidR="00877D15" w:rsidRPr="00EA1EE3" w:rsidRDefault="00877D15" w:rsidP="00EA1EE3">
      <w:pPr>
        <w:pStyle w:val="ListParagraph"/>
        <w:numPr>
          <w:ilvl w:val="0"/>
          <w:numId w:val="20"/>
        </w:numPr>
        <w:rPr>
          <w:rFonts w:cstheme="minorHAnsi"/>
          <w:sz w:val="24"/>
          <w:szCs w:val="24"/>
        </w:rPr>
      </w:pPr>
      <w:r w:rsidRPr="00EA1EE3">
        <w:rPr>
          <w:rFonts w:cstheme="minorHAnsi"/>
          <w:sz w:val="24"/>
          <w:szCs w:val="24"/>
        </w:rPr>
        <w:t xml:space="preserve">Adolescent Substance Use Service </w:t>
      </w:r>
      <w:r w:rsidR="00EA1EE3">
        <w:rPr>
          <w:rFonts w:cstheme="minorHAnsi"/>
          <w:sz w:val="24"/>
          <w:szCs w:val="24"/>
        </w:rPr>
        <w:t xml:space="preserve">- </w:t>
      </w:r>
      <w:r w:rsidRPr="00EA1EE3">
        <w:rPr>
          <w:rFonts w:cstheme="minorHAnsi"/>
          <w:sz w:val="24"/>
          <w:szCs w:val="24"/>
        </w:rPr>
        <w:t xml:space="preserve">NHS treatment for young people </w:t>
      </w:r>
    </w:p>
    <w:p w14:paraId="793278A8" w14:textId="638F68E6" w:rsidR="00877D15" w:rsidRDefault="00877D15" w:rsidP="00EA1EE3">
      <w:pPr>
        <w:ind w:left="720"/>
        <w:rPr>
          <w:rFonts w:cstheme="minorHAnsi"/>
          <w:sz w:val="24"/>
          <w:szCs w:val="24"/>
        </w:rPr>
      </w:pPr>
      <w:r w:rsidRPr="00C44B9C">
        <w:rPr>
          <w:rFonts w:cstheme="minorHAnsi"/>
          <w:sz w:val="24"/>
          <w:szCs w:val="24"/>
        </w:rPr>
        <w:t>The network also has a role in providing training and support t</w:t>
      </w:r>
      <w:r w:rsidR="00EA1EE3">
        <w:rPr>
          <w:rFonts w:cstheme="minorHAnsi"/>
          <w:sz w:val="24"/>
          <w:szCs w:val="24"/>
        </w:rPr>
        <w:t xml:space="preserve">o staff working in other young people’s services. </w:t>
      </w:r>
    </w:p>
    <w:p w14:paraId="204BC6A9" w14:textId="77777777" w:rsidR="00877D15" w:rsidRPr="00864715" w:rsidRDefault="00877D15" w:rsidP="00991F4C">
      <w:pPr>
        <w:pStyle w:val="Heading2"/>
        <w:rPr>
          <w:rFonts w:asciiTheme="minorHAnsi" w:hAnsiTheme="minorHAnsi" w:cstheme="minorHAnsi"/>
          <w:b/>
          <w:bCs/>
          <w:sz w:val="24"/>
          <w:szCs w:val="24"/>
        </w:rPr>
      </w:pPr>
      <w:bookmarkStart w:id="9" w:name="_Toc174006744"/>
      <w:r w:rsidRPr="00864715">
        <w:rPr>
          <w:rFonts w:asciiTheme="minorHAnsi" w:hAnsiTheme="minorHAnsi" w:cstheme="minorHAnsi"/>
          <w:b/>
          <w:bCs/>
          <w:sz w:val="24"/>
          <w:szCs w:val="24"/>
        </w:rPr>
        <w:t>Low Threshold Access</w:t>
      </w:r>
      <w:bookmarkEnd w:id="9"/>
    </w:p>
    <w:p w14:paraId="1610FE2A" w14:textId="10F1E5E4" w:rsidR="00877D15" w:rsidRPr="00C44B9C" w:rsidRDefault="00EA1EE3" w:rsidP="00EA1EE3">
      <w:pPr>
        <w:ind w:left="720" w:hanging="720"/>
        <w:rPr>
          <w:rFonts w:cstheme="minorHAnsi"/>
          <w:sz w:val="24"/>
          <w:szCs w:val="24"/>
        </w:rPr>
      </w:pPr>
      <w:r>
        <w:rPr>
          <w:rFonts w:cstheme="minorHAnsi"/>
          <w:sz w:val="24"/>
          <w:szCs w:val="24"/>
        </w:rPr>
        <w:t>9.</w:t>
      </w:r>
      <w:r>
        <w:rPr>
          <w:rFonts w:cstheme="minorHAnsi"/>
          <w:sz w:val="24"/>
          <w:szCs w:val="24"/>
        </w:rPr>
        <w:tab/>
      </w:r>
      <w:r w:rsidR="00877D15" w:rsidRPr="00C44B9C">
        <w:rPr>
          <w:rFonts w:cstheme="minorHAnsi"/>
          <w:sz w:val="24"/>
          <w:szCs w:val="24"/>
        </w:rPr>
        <w:t>Crew offers a city</w:t>
      </w:r>
      <w:r w:rsidR="000F5DB5" w:rsidRPr="00C44B9C">
        <w:rPr>
          <w:rFonts w:cstheme="minorHAnsi"/>
          <w:sz w:val="24"/>
          <w:szCs w:val="24"/>
        </w:rPr>
        <w:t>-</w:t>
      </w:r>
      <w:r w:rsidR="00877D15" w:rsidRPr="00C44B9C">
        <w:rPr>
          <w:rFonts w:cstheme="minorHAnsi"/>
          <w:sz w:val="24"/>
          <w:szCs w:val="24"/>
        </w:rPr>
        <w:t>centre</w:t>
      </w:r>
      <w:r w:rsidR="000F5DB5" w:rsidRPr="00C44B9C">
        <w:rPr>
          <w:rFonts w:cstheme="minorHAnsi"/>
          <w:sz w:val="24"/>
          <w:szCs w:val="24"/>
        </w:rPr>
        <w:t xml:space="preserve">, </w:t>
      </w:r>
      <w:r w:rsidR="00877D15" w:rsidRPr="00C44B9C">
        <w:rPr>
          <w:rFonts w:cstheme="minorHAnsi"/>
          <w:sz w:val="24"/>
          <w:szCs w:val="24"/>
        </w:rPr>
        <w:t xml:space="preserve">low threshold drop-in service for young people </w:t>
      </w:r>
      <w:r w:rsidR="000F5DB5" w:rsidRPr="00C44B9C">
        <w:rPr>
          <w:rFonts w:cstheme="minorHAnsi"/>
          <w:sz w:val="24"/>
          <w:szCs w:val="24"/>
        </w:rPr>
        <w:t xml:space="preserve">offering </w:t>
      </w:r>
      <w:r w:rsidR="00877D15" w:rsidRPr="00C44B9C">
        <w:rPr>
          <w:rFonts w:cstheme="minorHAnsi"/>
          <w:sz w:val="24"/>
          <w:szCs w:val="24"/>
        </w:rPr>
        <w:t xml:space="preserve">to harm reduction, drug and alcohol advice and information and sexual health services. It is complemented by a digital service offered which helps preserve anonymity and reduce stigma and is </w:t>
      </w:r>
      <w:r w:rsidR="00BF4E15" w:rsidRPr="00C44B9C">
        <w:rPr>
          <w:rFonts w:cstheme="minorHAnsi"/>
          <w:sz w:val="24"/>
          <w:szCs w:val="24"/>
        </w:rPr>
        <w:t>valued</w:t>
      </w:r>
      <w:r w:rsidR="00877D15" w:rsidRPr="00C44B9C">
        <w:rPr>
          <w:rFonts w:cstheme="minorHAnsi"/>
          <w:sz w:val="24"/>
          <w:szCs w:val="24"/>
        </w:rPr>
        <w:t xml:space="preserve"> by young people. Crew refers and supports access to the other YPSUS services, its own counselling </w:t>
      </w:r>
      <w:r w:rsidR="00BF4E15" w:rsidRPr="00C44B9C">
        <w:rPr>
          <w:rFonts w:cstheme="minorHAnsi"/>
          <w:sz w:val="24"/>
          <w:szCs w:val="24"/>
        </w:rPr>
        <w:t>services,</w:t>
      </w:r>
      <w:r w:rsidR="00877D15" w:rsidRPr="00C44B9C">
        <w:rPr>
          <w:rFonts w:cstheme="minorHAnsi"/>
          <w:sz w:val="24"/>
          <w:szCs w:val="24"/>
        </w:rPr>
        <w:t xml:space="preserve"> and any other services they may require.</w:t>
      </w:r>
    </w:p>
    <w:p w14:paraId="24F350A6" w14:textId="754BD322" w:rsidR="00877D15" w:rsidRPr="00C44B9C" w:rsidRDefault="00EA1EE3" w:rsidP="00EA1EE3">
      <w:pPr>
        <w:ind w:left="720" w:hanging="720"/>
        <w:rPr>
          <w:rFonts w:cstheme="minorHAnsi"/>
          <w:sz w:val="24"/>
          <w:szCs w:val="24"/>
        </w:rPr>
      </w:pPr>
      <w:r>
        <w:rPr>
          <w:rFonts w:cstheme="minorHAnsi"/>
          <w:sz w:val="24"/>
          <w:szCs w:val="24"/>
        </w:rPr>
        <w:t>10.</w:t>
      </w:r>
      <w:r>
        <w:rPr>
          <w:rFonts w:cstheme="minorHAnsi"/>
          <w:sz w:val="24"/>
          <w:szCs w:val="24"/>
        </w:rPr>
        <w:tab/>
      </w:r>
      <w:r w:rsidR="000F5DB5" w:rsidRPr="00C44B9C">
        <w:rPr>
          <w:rFonts w:cstheme="minorHAnsi"/>
          <w:sz w:val="24"/>
          <w:szCs w:val="24"/>
        </w:rPr>
        <w:t xml:space="preserve">In 2023-24 it </w:t>
      </w:r>
      <w:r w:rsidR="00877D15" w:rsidRPr="00C44B9C">
        <w:rPr>
          <w:rFonts w:cstheme="minorHAnsi"/>
          <w:sz w:val="24"/>
          <w:szCs w:val="24"/>
        </w:rPr>
        <w:t xml:space="preserve">provided advice, </w:t>
      </w:r>
      <w:r w:rsidR="00BF4E15" w:rsidRPr="00C44B9C">
        <w:rPr>
          <w:rFonts w:cstheme="minorHAnsi"/>
          <w:sz w:val="24"/>
          <w:szCs w:val="24"/>
        </w:rPr>
        <w:t>information,</w:t>
      </w:r>
      <w:r w:rsidR="00877D15" w:rsidRPr="00C44B9C">
        <w:rPr>
          <w:rFonts w:cstheme="minorHAnsi"/>
          <w:sz w:val="24"/>
          <w:szCs w:val="24"/>
        </w:rPr>
        <w:t xml:space="preserve"> and signposting to 3,504 young people between the ages of 12 and 25 and brief interventions to 282 young people concerned about their own use or that of family or friends. 88% of young people</w:t>
      </w:r>
      <w:r>
        <w:rPr>
          <w:rFonts w:cstheme="minorHAnsi"/>
          <w:sz w:val="24"/>
          <w:szCs w:val="24"/>
        </w:rPr>
        <w:t xml:space="preserve"> feedback that </w:t>
      </w:r>
      <w:r w:rsidR="00877D15" w:rsidRPr="00C44B9C">
        <w:rPr>
          <w:rFonts w:cstheme="minorHAnsi"/>
          <w:sz w:val="24"/>
          <w:szCs w:val="24"/>
        </w:rPr>
        <w:t xml:space="preserve">they knew more about the effects of drugs including alcohol and 61% </w:t>
      </w:r>
      <w:r w:rsidRPr="00C44B9C">
        <w:rPr>
          <w:rFonts w:cstheme="minorHAnsi"/>
          <w:sz w:val="24"/>
          <w:szCs w:val="24"/>
        </w:rPr>
        <w:t>report</w:t>
      </w:r>
      <w:r>
        <w:rPr>
          <w:rFonts w:cstheme="minorHAnsi"/>
          <w:sz w:val="24"/>
          <w:szCs w:val="24"/>
        </w:rPr>
        <w:t>ed</w:t>
      </w:r>
      <w:r w:rsidRPr="00C44B9C">
        <w:rPr>
          <w:rFonts w:cstheme="minorHAnsi"/>
          <w:sz w:val="24"/>
          <w:szCs w:val="24"/>
        </w:rPr>
        <w:t xml:space="preserve"> or</w:t>
      </w:r>
      <w:r w:rsidR="00877D15" w:rsidRPr="00C44B9C">
        <w:rPr>
          <w:rFonts w:cstheme="minorHAnsi"/>
          <w:sz w:val="24"/>
          <w:szCs w:val="24"/>
        </w:rPr>
        <w:t xml:space="preserve"> </w:t>
      </w:r>
      <w:r w:rsidR="00BF4E15">
        <w:rPr>
          <w:rFonts w:cstheme="minorHAnsi"/>
          <w:sz w:val="24"/>
          <w:szCs w:val="24"/>
        </w:rPr>
        <w:t xml:space="preserve">demonstrated </w:t>
      </w:r>
      <w:r w:rsidR="00BF4E15" w:rsidRPr="00C44B9C">
        <w:rPr>
          <w:rFonts w:cstheme="minorHAnsi"/>
          <w:sz w:val="24"/>
          <w:szCs w:val="24"/>
        </w:rPr>
        <w:t>making</w:t>
      </w:r>
      <w:r w:rsidR="00877D15" w:rsidRPr="00C44B9C">
        <w:rPr>
          <w:rFonts w:cstheme="minorHAnsi"/>
          <w:sz w:val="24"/>
          <w:szCs w:val="24"/>
        </w:rPr>
        <w:t xml:space="preserve"> positive changes in their </w:t>
      </w:r>
      <w:r>
        <w:rPr>
          <w:rFonts w:cstheme="minorHAnsi"/>
          <w:sz w:val="24"/>
          <w:szCs w:val="24"/>
        </w:rPr>
        <w:t>lives</w:t>
      </w:r>
      <w:r w:rsidR="00BF4E15">
        <w:rPr>
          <w:rFonts w:cstheme="minorHAnsi"/>
          <w:sz w:val="24"/>
          <w:szCs w:val="24"/>
        </w:rPr>
        <w:t xml:space="preserve">. </w:t>
      </w:r>
      <w:r w:rsidR="00877D15" w:rsidRPr="00C44B9C">
        <w:rPr>
          <w:rFonts w:cstheme="minorHAnsi"/>
          <w:sz w:val="24"/>
          <w:szCs w:val="24"/>
        </w:rPr>
        <w:t xml:space="preserve"> </w:t>
      </w:r>
    </w:p>
    <w:p w14:paraId="2569BD68" w14:textId="2B5AA3BF" w:rsidR="00877D15" w:rsidRPr="00C44B9C" w:rsidRDefault="00EA1EE3" w:rsidP="00EA1EE3">
      <w:pPr>
        <w:ind w:left="720" w:hanging="720"/>
        <w:rPr>
          <w:rFonts w:cstheme="minorHAnsi"/>
          <w:sz w:val="24"/>
          <w:szCs w:val="24"/>
        </w:rPr>
      </w:pPr>
      <w:r>
        <w:rPr>
          <w:rFonts w:cstheme="minorHAnsi"/>
          <w:sz w:val="24"/>
          <w:szCs w:val="24"/>
        </w:rPr>
        <w:t>11.</w:t>
      </w:r>
      <w:r>
        <w:rPr>
          <w:rFonts w:cstheme="minorHAnsi"/>
          <w:sz w:val="24"/>
          <w:szCs w:val="24"/>
        </w:rPr>
        <w:tab/>
      </w:r>
      <w:r w:rsidR="00877D15" w:rsidRPr="00C44B9C">
        <w:rPr>
          <w:rFonts w:cstheme="minorHAnsi"/>
          <w:sz w:val="24"/>
          <w:szCs w:val="24"/>
        </w:rPr>
        <w:t xml:space="preserve">The Junction Offers drop-in access for any young people in the </w:t>
      </w:r>
      <w:r w:rsidR="000F5DB5" w:rsidRPr="00C44B9C">
        <w:rPr>
          <w:rFonts w:cstheme="minorHAnsi"/>
          <w:sz w:val="24"/>
          <w:szCs w:val="24"/>
        </w:rPr>
        <w:t>N</w:t>
      </w:r>
      <w:r w:rsidR="00877D15" w:rsidRPr="00C44B9C">
        <w:rPr>
          <w:rFonts w:cstheme="minorHAnsi"/>
          <w:sz w:val="24"/>
          <w:szCs w:val="24"/>
        </w:rPr>
        <w:t>orth</w:t>
      </w:r>
      <w:r>
        <w:rPr>
          <w:rFonts w:cstheme="minorHAnsi"/>
          <w:sz w:val="24"/>
          <w:szCs w:val="24"/>
        </w:rPr>
        <w:t xml:space="preserve"> </w:t>
      </w:r>
      <w:r w:rsidR="000F5DB5" w:rsidRPr="00C44B9C">
        <w:rPr>
          <w:rFonts w:cstheme="minorHAnsi"/>
          <w:sz w:val="24"/>
          <w:szCs w:val="24"/>
        </w:rPr>
        <w:t>E</w:t>
      </w:r>
      <w:r w:rsidR="00877D15" w:rsidRPr="00C44B9C">
        <w:rPr>
          <w:rFonts w:cstheme="minorHAnsi"/>
          <w:sz w:val="24"/>
          <w:szCs w:val="24"/>
        </w:rPr>
        <w:t xml:space="preserve">ast of the city and direct access to a specialist substance use worker as required. </w:t>
      </w:r>
      <w:r w:rsidR="000F5DB5" w:rsidRPr="00C44B9C">
        <w:rPr>
          <w:rFonts w:cstheme="minorHAnsi"/>
          <w:sz w:val="24"/>
          <w:szCs w:val="24"/>
        </w:rPr>
        <w:t>In 2023-24 t</w:t>
      </w:r>
      <w:r w:rsidR="00877D15" w:rsidRPr="00C44B9C">
        <w:rPr>
          <w:rFonts w:cstheme="minorHAnsi"/>
          <w:sz w:val="24"/>
          <w:szCs w:val="24"/>
        </w:rPr>
        <w:t>he substance use worker provided 45 sessions and offered direct engagement with 13 young people over 34 sessions.</w:t>
      </w:r>
    </w:p>
    <w:p w14:paraId="1FFA4384" w14:textId="77777777" w:rsidR="00877D15" w:rsidRPr="00864715" w:rsidRDefault="00877D15" w:rsidP="00991F4C">
      <w:pPr>
        <w:pStyle w:val="Heading2"/>
        <w:rPr>
          <w:rFonts w:asciiTheme="minorHAnsi" w:hAnsiTheme="minorHAnsi" w:cstheme="minorHAnsi"/>
          <w:b/>
          <w:bCs/>
          <w:sz w:val="24"/>
          <w:szCs w:val="24"/>
        </w:rPr>
      </w:pPr>
      <w:bookmarkStart w:id="10" w:name="_Toc174006745"/>
      <w:r w:rsidRPr="00864715">
        <w:rPr>
          <w:rFonts w:asciiTheme="minorHAnsi" w:hAnsiTheme="minorHAnsi" w:cstheme="minorHAnsi"/>
          <w:b/>
          <w:bCs/>
          <w:sz w:val="24"/>
          <w:szCs w:val="24"/>
        </w:rPr>
        <w:lastRenderedPageBreak/>
        <w:t>Individual Support and treatment</w:t>
      </w:r>
      <w:bookmarkEnd w:id="10"/>
      <w:r w:rsidRPr="00864715">
        <w:rPr>
          <w:rFonts w:asciiTheme="minorHAnsi" w:hAnsiTheme="minorHAnsi" w:cstheme="minorHAnsi"/>
          <w:b/>
          <w:bCs/>
          <w:sz w:val="24"/>
          <w:szCs w:val="24"/>
        </w:rPr>
        <w:t xml:space="preserve"> </w:t>
      </w:r>
    </w:p>
    <w:p w14:paraId="124C1A30" w14:textId="3EC973D6" w:rsidR="00EA1EE3" w:rsidRDefault="00EA1EE3" w:rsidP="00EA1EE3">
      <w:pPr>
        <w:ind w:left="720" w:hanging="720"/>
        <w:rPr>
          <w:rFonts w:cstheme="minorHAnsi"/>
          <w:sz w:val="24"/>
          <w:szCs w:val="24"/>
        </w:rPr>
      </w:pPr>
      <w:r>
        <w:rPr>
          <w:rFonts w:cstheme="minorHAnsi"/>
          <w:sz w:val="24"/>
          <w:szCs w:val="24"/>
        </w:rPr>
        <w:t>12.</w:t>
      </w:r>
      <w:r>
        <w:rPr>
          <w:rFonts w:cstheme="minorHAnsi"/>
          <w:sz w:val="24"/>
          <w:szCs w:val="24"/>
        </w:rPr>
        <w:tab/>
      </w:r>
      <w:r w:rsidR="00BF4E15" w:rsidRPr="00C44B9C">
        <w:rPr>
          <w:rFonts w:cstheme="minorHAnsi"/>
          <w:sz w:val="24"/>
          <w:szCs w:val="24"/>
        </w:rPr>
        <w:t>Tiers</w:t>
      </w:r>
      <w:r w:rsidR="00877D15" w:rsidRPr="00C44B9C">
        <w:rPr>
          <w:rFonts w:cstheme="minorHAnsi"/>
          <w:sz w:val="24"/>
          <w:szCs w:val="24"/>
        </w:rPr>
        <w:t xml:space="preserve"> 3 and 4 support and treatment services are provided by </w:t>
      </w:r>
      <w:r w:rsidR="000F5DB5" w:rsidRPr="00C44B9C">
        <w:rPr>
          <w:rFonts w:cstheme="minorHAnsi"/>
          <w:sz w:val="24"/>
          <w:szCs w:val="24"/>
        </w:rPr>
        <w:t>NHS Lothian’s Adolescent Substance Use Service</w:t>
      </w:r>
      <w:r w:rsidR="00877D15" w:rsidRPr="00C44B9C">
        <w:rPr>
          <w:rFonts w:cstheme="minorHAnsi"/>
          <w:sz w:val="24"/>
          <w:szCs w:val="24"/>
        </w:rPr>
        <w:t>, The Junction and Circle.</w:t>
      </w:r>
      <w:r>
        <w:rPr>
          <w:rFonts w:cstheme="minorHAnsi"/>
          <w:sz w:val="24"/>
          <w:szCs w:val="24"/>
        </w:rPr>
        <w:t xml:space="preserve"> </w:t>
      </w:r>
      <w:r w:rsidR="00877D15" w:rsidRPr="00C44B9C">
        <w:rPr>
          <w:rFonts w:cstheme="minorHAnsi"/>
          <w:sz w:val="24"/>
          <w:szCs w:val="24"/>
        </w:rPr>
        <w:t xml:space="preserve">Tier 3 services deal with complex and often multiple needs of the child or young person and not just with particular substance problems. They also support the re-integration of the child into their family, school, </w:t>
      </w:r>
      <w:r w:rsidR="00BF4E15" w:rsidRPr="00C44B9C">
        <w:rPr>
          <w:rFonts w:cstheme="minorHAnsi"/>
          <w:sz w:val="24"/>
          <w:szCs w:val="24"/>
        </w:rPr>
        <w:t>community,</w:t>
      </w:r>
      <w:r w:rsidR="00877D15" w:rsidRPr="00C44B9C">
        <w:rPr>
          <w:rFonts w:cstheme="minorHAnsi"/>
          <w:sz w:val="24"/>
          <w:szCs w:val="24"/>
        </w:rPr>
        <w:t xml:space="preserve"> or place of work.</w:t>
      </w:r>
      <w:r>
        <w:rPr>
          <w:rFonts w:cstheme="minorHAnsi"/>
          <w:sz w:val="24"/>
          <w:szCs w:val="24"/>
        </w:rPr>
        <w:t xml:space="preserve"> </w:t>
      </w:r>
    </w:p>
    <w:p w14:paraId="10C737F9" w14:textId="239B52C6" w:rsidR="00877D15" w:rsidRDefault="00877D15" w:rsidP="00EA1EE3">
      <w:pPr>
        <w:ind w:left="720"/>
        <w:rPr>
          <w:rFonts w:cstheme="minorHAnsi"/>
          <w:sz w:val="24"/>
          <w:szCs w:val="24"/>
        </w:rPr>
      </w:pPr>
      <w:r w:rsidRPr="00C44B9C">
        <w:rPr>
          <w:rFonts w:cstheme="minorHAnsi"/>
          <w:sz w:val="24"/>
          <w:szCs w:val="24"/>
        </w:rPr>
        <w:t>Tier 4 services provide specialist forms of intervention for young people using substances with complex care needs. Interventions include increasing prosocial activity, goal setting, relapse prevention skills (e.g. managing cravings, dealing with high-risk situations), anger management, anxiety management, managing low mood, emotion regulation, identity development, self-esteem building and other abilities essential for positive adolescent development as well as skills specific to managing substance use difficulties</w:t>
      </w:r>
      <w:r w:rsidR="00BF4E15" w:rsidRPr="00C44B9C">
        <w:rPr>
          <w:rFonts w:cstheme="minorHAnsi"/>
          <w:sz w:val="24"/>
          <w:szCs w:val="24"/>
        </w:rPr>
        <w:t xml:space="preserve">. </w:t>
      </w:r>
      <w:r w:rsidRPr="00C44B9C">
        <w:rPr>
          <w:rFonts w:cstheme="minorHAnsi"/>
          <w:sz w:val="24"/>
          <w:szCs w:val="24"/>
        </w:rPr>
        <w:t>Psychological treatments utilising Motivational Interviewing, Cognitive Behavioural Therapy and Adolescent Community Reinforcement Approach are also provided.</w:t>
      </w:r>
      <w:r w:rsidR="000F5DB5" w:rsidRPr="00C44B9C">
        <w:rPr>
          <w:rFonts w:cstheme="minorHAnsi"/>
          <w:sz w:val="24"/>
          <w:szCs w:val="24"/>
        </w:rPr>
        <w:t xml:space="preserve"> </w:t>
      </w:r>
      <w:r w:rsidRPr="00C44B9C">
        <w:rPr>
          <w:rFonts w:cstheme="minorHAnsi"/>
          <w:sz w:val="24"/>
          <w:szCs w:val="24"/>
        </w:rPr>
        <w:t xml:space="preserve">For a small number there may be a need for intensive interventions which may include short-term prescribing, </w:t>
      </w:r>
      <w:r w:rsidR="00BF4E15" w:rsidRPr="00C44B9C">
        <w:rPr>
          <w:rFonts w:cstheme="minorHAnsi"/>
          <w:sz w:val="24"/>
          <w:szCs w:val="24"/>
        </w:rPr>
        <w:t>detoxification,</w:t>
      </w:r>
      <w:r w:rsidRPr="00C44B9C">
        <w:rPr>
          <w:rFonts w:cstheme="minorHAnsi"/>
          <w:sz w:val="24"/>
          <w:szCs w:val="24"/>
        </w:rPr>
        <w:t xml:space="preserve"> and places away from home. </w:t>
      </w:r>
    </w:p>
    <w:p w14:paraId="08939241" w14:textId="364DC02E" w:rsidR="00EA1EE3" w:rsidRPr="00C44B9C" w:rsidRDefault="00EA1EE3" w:rsidP="00EA1EE3">
      <w:pPr>
        <w:ind w:left="720" w:hanging="720"/>
        <w:rPr>
          <w:rFonts w:cstheme="minorHAnsi"/>
          <w:sz w:val="24"/>
          <w:szCs w:val="24"/>
        </w:rPr>
      </w:pPr>
      <w:r>
        <w:rPr>
          <w:rFonts w:cstheme="minorHAnsi"/>
          <w:sz w:val="24"/>
          <w:szCs w:val="24"/>
        </w:rPr>
        <w:t>13.</w:t>
      </w:r>
      <w:r>
        <w:rPr>
          <w:rFonts w:cstheme="minorHAnsi"/>
          <w:sz w:val="24"/>
          <w:szCs w:val="24"/>
        </w:rPr>
        <w:tab/>
      </w:r>
      <w:r w:rsidRPr="00C44B9C">
        <w:rPr>
          <w:rFonts w:cstheme="minorHAnsi"/>
          <w:sz w:val="24"/>
          <w:szCs w:val="24"/>
        </w:rPr>
        <w:t>The Junction provides a service up to Tier 3 and aims to help young people identify and deal with their complex needs, not just their substance use</w:t>
      </w:r>
      <w:r w:rsidR="00BF4E15" w:rsidRPr="00C44B9C">
        <w:rPr>
          <w:rFonts w:cstheme="minorHAnsi"/>
          <w:sz w:val="24"/>
          <w:szCs w:val="24"/>
        </w:rPr>
        <w:t xml:space="preserve">. </w:t>
      </w:r>
      <w:r w:rsidRPr="00C44B9C">
        <w:rPr>
          <w:rFonts w:cstheme="minorHAnsi"/>
          <w:sz w:val="24"/>
          <w:szCs w:val="24"/>
        </w:rPr>
        <w:t>Specialist assessments are carried out which lead to a planned care package for those engaging with one-to-one support.  Support is not time limited and young people will initially be offered 10 appointments</w:t>
      </w:r>
      <w:r w:rsidR="00BF4E15" w:rsidRPr="00C44B9C">
        <w:rPr>
          <w:rFonts w:cstheme="minorHAnsi"/>
          <w:sz w:val="24"/>
          <w:szCs w:val="24"/>
        </w:rPr>
        <w:t xml:space="preserve">. </w:t>
      </w:r>
      <w:r w:rsidRPr="00C44B9C">
        <w:rPr>
          <w:rFonts w:cstheme="minorHAnsi"/>
          <w:sz w:val="24"/>
          <w:szCs w:val="24"/>
        </w:rPr>
        <w:t xml:space="preserve">The worker will also attend relevant child planning meetings, children’s hearings and provide reports with permission from the person. The individual support offered aims to meet all the needs of young people and provides a holistic approach. In 2023-24, 20 young people received one to one drug and alcohol support from The Junction with 134 sessions attended. </w:t>
      </w:r>
    </w:p>
    <w:p w14:paraId="205E84FB" w14:textId="2A254F32" w:rsidR="00EA1EE3" w:rsidRPr="00C44B9C" w:rsidRDefault="00EA1EE3" w:rsidP="00EA1EE3">
      <w:pPr>
        <w:ind w:left="720" w:hanging="720"/>
        <w:rPr>
          <w:rFonts w:cstheme="minorHAnsi"/>
          <w:sz w:val="24"/>
          <w:szCs w:val="24"/>
        </w:rPr>
      </w:pPr>
      <w:r>
        <w:rPr>
          <w:rFonts w:cstheme="minorHAnsi"/>
          <w:sz w:val="24"/>
          <w:szCs w:val="24"/>
        </w:rPr>
        <w:t>14.</w:t>
      </w:r>
      <w:r>
        <w:rPr>
          <w:rFonts w:cstheme="minorHAnsi"/>
          <w:sz w:val="24"/>
          <w:szCs w:val="24"/>
        </w:rPr>
        <w:tab/>
      </w:r>
      <w:r w:rsidRPr="00C44B9C">
        <w:rPr>
          <w:rFonts w:cstheme="minorHAnsi"/>
          <w:sz w:val="24"/>
          <w:szCs w:val="24"/>
        </w:rPr>
        <w:t>Circle provides a Tier 3 support service in North West Edinburgh to young people affected by their own substance use, their parents’ or siblings use or a combination of both</w:t>
      </w:r>
      <w:r w:rsidR="00BF4E15" w:rsidRPr="00C44B9C">
        <w:rPr>
          <w:rFonts w:cstheme="minorHAnsi"/>
          <w:sz w:val="24"/>
          <w:szCs w:val="24"/>
        </w:rPr>
        <w:t xml:space="preserve">. </w:t>
      </w:r>
      <w:r w:rsidRPr="00C44B9C">
        <w:rPr>
          <w:rFonts w:cstheme="minorHAnsi"/>
          <w:sz w:val="24"/>
          <w:szCs w:val="24"/>
        </w:rPr>
        <w:t>The service provided direct ongoing support to 42 young people and received 21 referrals in the past year. It evaluates very well across a range of outcomes including, reduction/stopping substance use,</w:t>
      </w:r>
      <w:r>
        <w:rPr>
          <w:rFonts w:cstheme="minorHAnsi"/>
          <w:sz w:val="24"/>
          <w:szCs w:val="24"/>
        </w:rPr>
        <w:t xml:space="preserve"> i</w:t>
      </w:r>
      <w:r w:rsidRPr="00C44B9C">
        <w:rPr>
          <w:rFonts w:cstheme="minorHAnsi"/>
          <w:sz w:val="24"/>
          <w:szCs w:val="24"/>
        </w:rPr>
        <w:t xml:space="preserve">mproved mental and physical health, </w:t>
      </w:r>
      <w:r>
        <w:rPr>
          <w:rFonts w:cstheme="minorHAnsi"/>
          <w:sz w:val="24"/>
          <w:szCs w:val="24"/>
        </w:rPr>
        <w:t>i</w:t>
      </w:r>
      <w:r w:rsidRPr="00C44B9C">
        <w:rPr>
          <w:rFonts w:cstheme="minorHAnsi"/>
          <w:sz w:val="24"/>
          <w:szCs w:val="24"/>
        </w:rPr>
        <w:t xml:space="preserve">mproved engagement with education, </w:t>
      </w:r>
      <w:r>
        <w:rPr>
          <w:rFonts w:cstheme="minorHAnsi"/>
          <w:sz w:val="24"/>
          <w:szCs w:val="24"/>
        </w:rPr>
        <w:t>i</w:t>
      </w:r>
      <w:r w:rsidRPr="00C44B9C">
        <w:rPr>
          <w:rFonts w:cstheme="minorHAnsi"/>
          <w:sz w:val="24"/>
          <w:szCs w:val="24"/>
        </w:rPr>
        <w:t xml:space="preserve">ncreased confidence and </w:t>
      </w:r>
      <w:r>
        <w:rPr>
          <w:rFonts w:cstheme="minorHAnsi"/>
          <w:sz w:val="24"/>
          <w:szCs w:val="24"/>
        </w:rPr>
        <w:t>i</w:t>
      </w:r>
      <w:r w:rsidRPr="00C44B9C">
        <w:rPr>
          <w:rFonts w:cstheme="minorHAnsi"/>
          <w:sz w:val="24"/>
          <w:szCs w:val="24"/>
        </w:rPr>
        <w:t>mproved family and social relationships.</w:t>
      </w:r>
    </w:p>
    <w:p w14:paraId="453763BA" w14:textId="2ED97917" w:rsidR="00877D15" w:rsidRPr="00C44B9C" w:rsidRDefault="00EA1EE3" w:rsidP="00EA1EE3">
      <w:pPr>
        <w:ind w:left="720" w:hanging="720"/>
        <w:rPr>
          <w:rFonts w:cstheme="minorHAnsi"/>
          <w:sz w:val="24"/>
          <w:szCs w:val="24"/>
        </w:rPr>
      </w:pPr>
      <w:r>
        <w:rPr>
          <w:rFonts w:cstheme="minorHAnsi"/>
          <w:sz w:val="24"/>
          <w:szCs w:val="24"/>
        </w:rPr>
        <w:t>15.</w:t>
      </w:r>
      <w:r>
        <w:rPr>
          <w:rFonts w:cstheme="minorHAnsi"/>
          <w:sz w:val="24"/>
          <w:szCs w:val="24"/>
        </w:rPr>
        <w:tab/>
      </w:r>
      <w:r w:rsidR="00877D15" w:rsidRPr="00C44B9C">
        <w:rPr>
          <w:rFonts w:cstheme="minorHAnsi"/>
          <w:sz w:val="24"/>
          <w:szCs w:val="24"/>
        </w:rPr>
        <w:t xml:space="preserve">ASUS is a full-time specialist nurse linked to the Substance Misuse Directorate and CAMHS. It provides a Tier 3 and 4 treatment response to young people under 18 with multiple and complex needs and experiencing problems with their drug and/or alcohol use. The service had a total caseload of 74 over the year receiving 52 referrals. The service responds to non-fatal overdoses among young people under the age of 18 who have attended </w:t>
      </w:r>
      <w:r>
        <w:rPr>
          <w:rFonts w:cstheme="minorHAnsi"/>
          <w:sz w:val="24"/>
          <w:szCs w:val="24"/>
        </w:rPr>
        <w:t>the Emergency Department</w:t>
      </w:r>
      <w:r w:rsidR="00877D15" w:rsidRPr="00C44B9C">
        <w:rPr>
          <w:rFonts w:cstheme="minorHAnsi"/>
          <w:sz w:val="24"/>
          <w:szCs w:val="24"/>
        </w:rPr>
        <w:t xml:space="preserve"> or Scottish Ambulance Service and offers an appointment to provide treatment and support. </w:t>
      </w:r>
    </w:p>
    <w:p w14:paraId="1C72B6B1" w14:textId="406A9CCF" w:rsidR="00877D15" w:rsidRPr="00864715" w:rsidRDefault="00877D15" w:rsidP="00991F4C">
      <w:pPr>
        <w:pStyle w:val="Heading2"/>
        <w:rPr>
          <w:rFonts w:asciiTheme="minorHAnsi" w:hAnsiTheme="minorHAnsi" w:cstheme="minorHAnsi"/>
          <w:b/>
          <w:bCs/>
          <w:sz w:val="24"/>
          <w:szCs w:val="24"/>
        </w:rPr>
      </w:pPr>
      <w:bookmarkStart w:id="11" w:name="_Toc174006746"/>
      <w:r w:rsidRPr="00864715">
        <w:rPr>
          <w:rFonts w:asciiTheme="minorHAnsi" w:hAnsiTheme="minorHAnsi" w:cstheme="minorHAnsi"/>
          <w:b/>
          <w:bCs/>
          <w:sz w:val="24"/>
          <w:szCs w:val="24"/>
        </w:rPr>
        <w:lastRenderedPageBreak/>
        <w:t>Staff Training</w:t>
      </w:r>
      <w:r w:rsidR="008A1F2F" w:rsidRPr="00864715">
        <w:rPr>
          <w:rFonts w:asciiTheme="minorHAnsi" w:hAnsiTheme="minorHAnsi" w:cstheme="minorHAnsi"/>
          <w:b/>
          <w:bCs/>
          <w:sz w:val="24"/>
          <w:szCs w:val="24"/>
        </w:rPr>
        <w:t xml:space="preserve"> for those working with young people</w:t>
      </w:r>
      <w:bookmarkEnd w:id="11"/>
      <w:r w:rsidR="008A1F2F" w:rsidRPr="00864715">
        <w:rPr>
          <w:rFonts w:asciiTheme="minorHAnsi" w:hAnsiTheme="minorHAnsi" w:cstheme="minorHAnsi"/>
          <w:b/>
          <w:bCs/>
          <w:sz w:val="24"/>
          <w:szCs w:val="24"/>
        </w:rPr>
        <w:t xml:space="preserve"> </w:t>
      </w:r>
    </w:p>
    <w:p w14:paraId="77D7608A" w14:textId="26EDE185" w:rsidR="00877D15" w:rsidRPr="00C44B9C" w:rsidRDefault="00EA1EE3" w:rsidP="00EA1EE3">
      <w:pPr>
        <w:ind w:left="720" w:hanging="720"/>
        <w:rPr>
          <w:rFonts w:cstheme="minorHAnsi"/>
          <w:sz w:val="24"/>
          <w:szCs w:val="24"/>
        </w:rPr>
      </w:pPr>
      <w:r>
        <w:rPr>
          <w:rFonts w:cstheme="minorHAnsi"/>
          <w:sz w:val="24"/>
          <w:szCs w:val="24"/>
        </w:rPr>
        <w:t>16.</w:t>
      </w:r>
      <w:r>
        <w:rPr>
          <w:rFonts w:cstheme="minorHAnsi"/>
          <w:sz w:val="24"/>
          <w:szCs w:val="24"/>
        </w:rPr>
        <w:tab/>
      </w:r>
      <w:r w:rsidR="00877D15" w:rsidRPr="00C44B9C">
        <w:rPr>
          <w:rFonts w:cstheme="minorHAnsi"/>
          <w:sz w:val="24"/>
          <w:szCs w:val="24"/>
        </w:rPr>
        <w:t xml:space="preserve">The Junction provides training in partnership with </w:t>
      </w:r>
      <w:r w:rsidR="008A1F2F" w:rsidRPr="00C44B9C">
        <w:rPr>
          <w:rFonts w:cstheme="minorHAnsi"/>
          <w:sz w:val="24"/>
          <w:szCs w:val="24"/>
        </w:rPr>
        <w:t>Lothian Association of Youth Clubs (</w:t>
      </w:r>
      <w:r w:rsidR="00877D15" w:rsidRPr="00C44B9C">
        <w:rPr>
          <w:rFonts w:cstheme="minorHAnsi"/>
          <w:sz w:val="24"/>
          <w:szCs w:val="24"/>
        </w:rPr>
        <w:t>LAYC</w:t>
      </w:r>
      <w:r w:rsidR="008A1F2F" w:rsidRPr="00C44B9C">
        <w:rPr>
          <w:rFonts w:cstheme="minorHAnsi"/>
          <w:sz w:val="24"/>
          <w:szCs w:val="24"/>
        </w:rPr>
        <w:t>)</w:t>
      </w:r>
      <w:r w:rsidR="00877D15" w:rsidRPr="00C44B9C">
        <w:rPr>
          <w:rFonts w:cstheme="minorHAnsi"/>
          <w:sz w:val="24"/>
          <w:szCs w:val="24"/>
        </w:rPr>
        <w:t xml:space="preserve"> as part of their learning and development programme which supports their mission to strengthen the quality of youth and children’s work across Edinburgh and the Lothians. The </w:t>
      </w:r>
      <w:r>
        <w:rPr>
          <w:rFonts w:cstheme="minorHAnsi"/>
          <w:sz w:val="24"/>
          <w:szCs w:val="24"/>
        </w:rPr>
        <w:t>t</w:t>
      </w:r>
      <w:r w:rsidR="00877D15" w:rsidRPr="00C44B9C">
        <w:rPr>
          <w:rFonts w:cstheme="minorHAnsi"/>
          <w:sz w:val="24"/>
          <w:szCs w:val="24"/>
        </w:rPr>
        <w:t>raining runs from September to June each year and is designed in consultation with member groups. The first session was attended by 12 participants from various youth work backgrounds and evaluation by LAYC highlighted that staff felt more empowered to have conversations about difficult topics with young people.</w:t>
      </w:r>
    </w:p>
    <w:p w14:paraId="1C9F8FD6" w14:textId="77777777" w:rsidR="00877D15" w:rsidRPr="00864715" w:rsidRDefault="00877D15" w:rsidP="00FD75D7">
      <w:pPr>
        <w:pStyle w:val="Heading2"/>
        <w:rPr>
          <w:rFonts w:asciiTheme="minorHAnsi" w:hAnsiTheme="minorHAnsi" w:cstheme="minorHAnsi"/>
          <w:b/>
          <w:bCs/>
          <w:sz w:val="24"/>
          <w:szCs w:val="24"/>
        </w:rPr>
      </w:pPr>
      <w:bookmarkStart w:id="12" w:name="_Toc174006747"/>
      <w:r w:rsidRPr="00864715">
        <w:rPr>
          <w:rFonts w:asciiTheme="minorHAnsi" w:hAnsiTheme="minorHAnsi" w:cstheme="minorHAnsi"/>
          <w:b/>
          <w:bCs/>
          <w:sz w:val="24"/>
          <w:szCs w:val="24"/>
        </w:rPr>
        <w:t>Early Intervention Commissioning Plan – review of funding and commissioning of YPSUS</w:t>
      </w:r>
      <w:bookmarkEnd w:id="12"/>
    </w:p>
    <w:p w14:paraId="3C272DD4" w14:textId="6A5BFD35" w:rsidR="001C6BAD" w:rsidRPr="00C44B9C" w:rsidRDefault="00EA1EE3" w:rsidP="00FF0102">
      <w:pPr>
        <w:ind w:left="720" w:hanging="720"/>
        <w:rPr>
          <w:rFonts w:cstheme="minorHAnsi"/>
          <w:sz w:val="24"/>
          <w:szCs w:val="24"/>
        </w:rPr>
      </w:pPr>
      <w:r>
        <w:rPr>
          <w:rFonts w:cstheme="minorHAnsi"/>
          <w:sz w:val="24"/>
          <w:szCs w:val="24"/>
        </w:rPr>
        <w:t>17.</w:t>
      </w:r>
      <w:r>
        <w:rPr>
          <w:rFonts w:cstheme="minorHAnsi"/>
          <w:sz w:val="24"/>
          <w:szCs w:val="24"/>
        </w:rPr>
        <w:tab/>
      </w:r>
      <w:r w:rsidR="00877D15" w:rsidRPr="00C44B9C">
        <w:rPr>
          <w:rFonts w:cstheme="minorHAnsi"/>
          <w:sz w:val="24"/>
          <w:szCs w:val="24"/>
        </w:rPr>
        <w:t xml:space="preserve">Young Peoples Substance Use services are supported by a combination of different funding sources including EADP, other Council sources and charitable trusts and funds. Service funding gaps have been supported in the short term from EADP </w:t>
      </w:r>
      <w:r w:rsidR="00BF4E15" w:rsidRPr="00C44B9C">
        <w:rPr>
          <w:rFonts w:cstheme="minorHAnsi"/>
          <w:sz w:val="24"/>
          <w:szCs w:val="24"/>
        </w:rPr>
        <w:t>underspend,</w:t>
      </w:r>
      <w:r w:rsidR="00877D15" w:rsidRPr="00C44B9C">
        <w:rPr>
          <w:rFonts w:cstheme="minorHAnsi"/>
          <w:sz w:val="24"/>
          <w:szCs w:val="24"/>
        </w:rPr>
        <w:t xml:space="preserve"> but this is not sustainable longer term. </w:t>
      </w:r>
    </w:p>
    <w:p w14:paraId="542ADE1A" w14:textId="77777777" w:rsidR="008160B0" w:rsidRDefault="008160B0" w:rsidP="00627590">
      <w:pPr>
        <w:pStyle w:val="Title"/>
        <w:rPr>
          <w:rFonts w:asciiTheme="minorHAnsi" w:hAnsiTheme="minorHAnsi" w:cstheme="minorHAnsi"/>
          <w:b/>
          <w:bCs/>
          <w:color w:val="4472C4" w:themeColor="accent1"/>
          <w:sz w:val="32"/>
          <w:szCs w:val="32"/>
        </w:rPr>
      </w:pPr>
      <w:bookmarkStart w:id="13" w:name="_Toc174006748"/>
    </w:p>
    <w:p w14:paraId="5FF58C43" w14:textId="517016E3" w:rsidR="004E2210" w:rsidRDefault="034AAF71" w:rsidP="00627590">
      <w:pPr>
        <w:pStyle w:val="Title"/>
        <w:rPr>
          <w:rFonts w:asciiTheme="minorHAnsi" w:hAnsiTheme="minorHAnsi" w:cstheme="minorHAnsi"/>
          <w:b/>
          <w:bCs/>
          <w:color w:val="4472C4" w:themeColor="accent1"/>
          <w:sz w:val="32"/>
          <w:szCs w:val="32"/>
        </w:rPr>
      </w:pPr>
      <w:r w:rsidRPr="00864715">
        <w:rPr>
          <w:rFonts w:asciiTheme="minorHAnsi" w:hAnsiTheme="minorHAnsi" w:cstheme="minorHAnsi"/>
          <w:b/>
          <w:bCs/>
          <w:color w:val="4472C4" w:themeColor="accent1"/>
          <w:sz w:val="32"/>
          <w:szCs w:val="32"/>
        </w:rPr>
        <w:t>Developing Recovery Orientated Systems of Care</w:t>
      </w:r>
      <w:bookmarkEnd w:id="13"/>
    </w:p>
    <w:p w14:paraId="73FFC802" w14:textId="77777777" w:rsidR="008160B0" w:rsidRPr="008160B0" w:rsidRDefault="008160B0" w:rsidP="008160B0"/>
    <w:p w14:paraId="49D83068" w14:textId="117765DA" w:rsidR="00F3332C" w:rsidRPr="00C44B9C" w:rsidRDefault="00FF0102" w:rsidP="00FF0102">
      <w:pPr>
        <w:ind w:left="720" w:hanging="720"/>
        <w:jc w:val="both"/>
        <w:rPr>
          <w:rFonts w:cstheme="minorHAnsi"/>
          <w:sz w:val="24"/>
          <w:szCs w:val="24"/>
        </w:rPr>
      </w:pPr>
      <w:bookmarkStart w:id="14" w:name="_Toc106377042"/>
      <w:bookmarkStart w:id="15" w:name="_Hlk137459182"/>
      <w:r>
        <w:rPr>
          <w:rFonts w:cstheme="minorHAnsi"/>
          <w:sz w:val="24"/>
          <w:szCs w:val="24"/>
        </w:rPr>
        <w:t>18.</w:t>
      </w:r>
      <w:r>
        <w:rPr>
          <w:rFonts w:cstheme="minorHAnsi"/>
          <w:sz w:val="24"/>
          <w:szCs w:val="24"/>
        </w:rPr>
        <w:tab/>
      </w:r>
      <w:r w:rsidR="00F3332C" w:rsidRPr="00C44B9C">
        <w:rPr>
          <w:rFonts w:cstheme="minorHAnsi"/>
          <w:sz w:val="24"/>
          <w:szCs w:val="24"/>
        </w:rPr>
        <w:t xml:space="preserve">The </w:t>
      </w:r>
      <w:hyperlink r:id="rId12" w:history="1">
        <w:r w:rsidR="00F3332C" w:rsidRPr="00C44B9C">
          <w:rPr>
            <w:rStyle w:val="Hyperlink"/>
            <w:rFonts w:cstheme="minorHAnsi"/>
            <w:sz w:val="24"/>
            <w:szCs w:val="24"/>
          </w:rPr>
          <w:t>Medication Assisted Treatment (MAT) Standards</w:t>
        </w:r>
      </w:hyperlink>
      <w:r w:rsidR="00F3332C" w:rsidRPr="00C44B9C">
        <w:rPr>
          <w:rFonts w:cstheme="minorHAnsi"/>
          <w:sz w:val="24"/>
          <w:szCs w:val="24"/>
        </w:rPr>
        <w:t xml:space="preserve"> are a key part of the Scottish</w:t>
      </w:r>
      <w:r w:rsidR="00A845C9" w:rsidRPr="00C44B9C">
        <w:rPr>
          <w:rFonts w:cstheme="minorHAnsi"/>
          <w:sz w:val="24"/>
          <w:szCs w:val="24"/>
        </w:rPr>
        <w:t xml:space="preserve"> </w:t>
      </w:r>
      <w:r w:rsidR="00F3332C" w:rsidRPr="00C44B9C">
        <w:rPr>
          <w:rFonts w:cstheme="minorHAnsi"/>
          <w:sz w:val="24"/>
          <w:szCs w:val="24"/>
        </w:rPr>
        <w:t xml:space="preserve">Government’s </w:t>
      </w:r>
      <w:hyperlink r:id="rId13" w:history="1">
        <w:r w:rsidR="00F3332C" w:rsidRPr="00C44B9C">
          <w:rPr>
            <w:rStyle w:val="Hyperlink"/>
            <w:rFonts w:cstheme="minorHAnsi"/>
            <w:sz w:val="24"/>
            <w:szCs w:val="24"/>
          </w:rPr>
          <w:t>National Mission on Drug Deaths</w:t>
        </w:r>
      </w:hyperlink>
      <w:r w:rsidR="009311A4" w:rsidRPr="00C44B9C">
        <w:rPr>
          <w:rFonts w:cstheme="minorHAnsi"/>
          <w:sz w:val="24"/>
          <w:szCs w:val="24"/>
        </w:rPr>
        <w:t xml:space="preserve"> </w:t>
      </w:r>
      <w:r w:rsidR="00A845C9" w:rsidRPr="00C44B9C">
        <w:rPr>
          <w:rFonts w:cstheme="minorHAnsi"/>
          <w:sz w:val="24"/>
          <w:szCs w:val="24"/>
        </w:rPr>
        <w:t xml:space="preserve">which </w:t>
      </w:r>
      <w:r w:rsidR="00F3332C" w:rsidRPr="00C44B9C">
        <w:rPr>
          <w:rFonts w:cstheme="minorHAnsi"/>
          <w:sz w:val="24"/>
          <w:szCs w:val="24"/>
        </w:rPr>
        <w:t>aim</w:t>
      </w:r>
      <w:r w:rsidR="00A845C9" w:rsidRPr="00C44B9C">
        <w:rPr>
          <w:rFonts w:cstheme="minorHAnsi"/>
          <w:sz w:val="24"/>
          <w:szCs w:val="24"/>
        </w:rPr>
        <w:t xml:space="preserve">s to </w:t>
      </w:r>
      <w:r w:rsidR="00F3332C" w:rsidRPr="00C44B9C">
        <w:rPr>
          <w:rFonts w:cstheme="minorHAnsi"/>
          <w:sz w:val="24"/>
          <w:szCs w:val="24"/>
        </w:rPr>
        <w:t>reduc</w:t>
      </w:r>
      <w:r w:rsidR="00A845C9" w:rsidRPr="00C44B9C">
        <w:rPr>
          <w:rFonts w:cstheme="minorHAnsi"/>
          <w:sz w:val="24"/>
          <w:szCs w:val="24"/>
        </w:rPr>
        <w:t xml:space="preserve">e </w:t>
      </w:r>
      <w:r>
        <w:rPr>
          <w:rFonts w:cstheme="minorHAnsi"/>
          <w:sz w:val="24"/>
          <w:szCs w:val="24"/>
        </w:rPr>
        <w:t>d</w:t>
      </w:r>
      <w:r w:rsidR="00A845C9" w:rsidRPr="00C44B9C">
        <w:rPr>
          <w:rFonts w:cstheme="minorHAnsi"/>
          <w:sz w:val="24"/>
          <w:szCs w:val="24"/>
        </w:rPr>
        <w:t>rug related death</w:t>
      </w:r>
      <w:r>
        <w:rPr>
          <w:rFonts w:cstheme="minorHAnsi"/>
          <w:sz w:val="24"/>
          <w:szCs w:val="24"/>
        </w:rPr>
        <w:t>s</w:t>
      </w:r>
      <w:r w:rsidR="00A845C9" w:rsidRPr="00C44B9C">
        <w:rPr>
          <w:rFonts w:cstheme="minorHAnsi"/>
          <w:sz w:val="24"/>
          <w:szCs w:val="24"/>
        </w:rPr>
        <w:t xml:space="preserve"> and </w:t>
      </w:r>
      <w:r w:rsidR="00F3332C" w:rsidRPr="00C44B9C">
        <w:rPr>
          <w:rFonts w:cstheme="minorHAnsi"/>
          <w:sz w:val="24"/>
          <w:szCs w:val="24"/>
        </w:rPr>
        <w:t>improv</w:t>
      </w:r>
      <w:r w:rsidR="00E63363" w:rsidRPr="00C44B9C">
        <w:rPr>
          <w:rFonts w:cstheme="minorHAnsi"/>
          <w:sz w:val="24"/>
          <w:szCs w:val="24"/>
        </w:rPr>
        <w:t>ing</w:t>
      </w:r>
      <w:r w:rsidR="00F3332C" w:rsidRPr="00C44B9C">
        <w:rPr>
          <w:rFonts w:cstheme="minorHAnsi"/>
          <w:sz w:val="24"/>
          <w:szCs w:val="24"/>
        </w:rPr>
        <w:t xml:space="preserve"> lives. In Edinburgh implementation of the MAT Standards has benefitted from significant financial investment, </w:t>
      </w:r>
      <w:r>
        <w:rPr>
          <w:rFonts w:cstheme="minorHAnsi"/>
          <w:sz w:val="24"/>
          <w:szCs w:val="24"/>
        </w:rPr>
        <w:t xml:space="preserve">strategic planning aligned with operational delivery </w:t>
      </w:r>
      <w:r w:rsidR="00BF4E15">
        <w:rPr>
          <w:rFonts w:cstheme="minorHAnsi"/>
          <w:sz w:val="24"/>
          <w:szCs w:val="24"/>
        </w:rPr>
        <w:t xml:space="preserve">and </w:t>
      </w:r>
      <w:r w:rsidR="00BF4E15" w:rsidRPr="00C44B9C">
        <w:rPr>
          <w:rFonts w:cstheme="minorHAnsi"/>
          <w:sz w:val="24"/>
          <w:szCs w:val="24"/>
        </w:rPr>
        <w:t>strong</w:t>
      </w:r>
      <w:r w:rsidR="00F3332C" w:rsidRPr="00C44B9C">
        <w:rPr>
          <w:rFonts w:cstheme="minorHAnsi"/>
          <w:sz w:val="24"/>
          <w:szCs w:val="24"/>
        </w:rPr>
        <w:t xml:space="preserve"> partnership working. </w:t>
      </w:r>
    </w:p>
    <w:p w14:paraId="5D673100" w14:textId="255AF739" w:rsidR="00EC7B8F" w:rsidRPr="00C44B9C" w:rsidRDefault="00FF0102" w:rsidP="00FF0102">
      <w:pPr>
        <w:ind w:left="720" w:hanging="720"/>
        <w:jc w:val="both"/>
        <w:rPr>
          <w:rFonts w:cstheme="minorHAnsi"/>
          <w:sz w:val="24"/>
          <w:szCs w:val="24"/>
        </w:rPr>
      </w:pPr>
      <w:r>
        <w:rPr>
          <w:rFonts w:cstheme="minorHAnsi"/>
          <w:sz w:val="24"/>
          <w:szCs w:val="24"/>
        </w:rPr>
        <w:t>19.</w:t>
      </w:r>
      <w:r>
        <w:rPr>
          <w:rFonts w:cstheme="minorHAnsi"/>
          <w:sz w:val="24"/>
          <w:szCs w:val="24"/>
        </w:rPr>
        <w:tab/>
      </w:r>
      <w:r w:rsidR="001818FC" w:rsidRPr="00C44B9C">
        <w:rPr>
          <w:rFonts w:cstheme="minorHAnsi"/>
          <w:sz w:val="24"/>
          <w:szCs w:val="24"/>
        </w:rPr>
        <w:t xml:space="preserve">The </w:t>
      </w:r>
      <w:r w:rsidR="00F3332C" w:rsidRPr="00C44B9C">
        <w:rPr>
          <w:rFonts w:cstheme="minorHAnsi"/>
          <w:sz w:val="24"/>
          <w:szCs w:val="24"/>
        </w:rPr>
        <w:t>MAT Implementation Support Team (MIST)</w:t>
      </w:r>
      <w:r w:rsidR="004F4F30" w:rsidRPr="00C44B9C">
        <w:rPr>
          <w:rFonts w:cstheme="minorHAnsi"/>
          <w:sz w:val="24"/>
          <w:szCs w:val="24"/>
        </w:rPr>
        <w:t>,</w:t>
      </w:r>
      <w:r w:rsidR="00F3332C" w:rsidRPr="00C44B9C">
        <w:rPr>
          <w:rFonts w:cstheme="minorHAnsi"/>
          <w:sz w:val="24"/>
          <w:szCs w:val="24"/>
        </w:rPr>
        <w:t xml:space="preserve"> </w:t>
      </w:r>
      <w:r w:rsidR="00A845C9" w:rsidRPr="00C44B9C">
        <w:rPr>
          <w:rFonts w:cstheme="minorHAnsi"/>
          <w:sz w:val="24"/>
          <w:szCs w:val="24"/>
        </w:rPr>
        <w:t xml:space="preserve">a </w:t>
      </w:r>
      <w:r w:rsidR="00F3332C" w:rsidRPr="00C44B9C">
        <w:rPr>
          <w:rFonts w:cstheme="minorHAnsi"/>
          <w:sz w:val="24"/>
          <w:szCs w:val="24"/>
        </w:rPr>
        <w:t>part of Public Health Scotland (PHS)</w:t>
      </w:r>
      <w:r w:rsidR="004F4F30" w:rsidRPr="00C44B9C">
        <w:rPr>
          <w:rFonts w:cstheme="minorHAnsi"/>
          <w:sz w:val="24"/>
          <w:szCs w:val="24"/>
        </w:rPr>
        <w:t>,</w:t>
      </w:r>
      <w:r>
        <w:rPr>
          <w:rFonts w:cstheme="minorHAnsi"/>
          <w:sz w:val="24"/>
          <w:szCs w:val="24"/>
        </w:rPr>
        <w:t xml:space="preserve"> </w:t>
      </w:r>
      <w:r w:rsidR="00A845C9" w:rsidRPr="00C44B9C">
        <w:rPr>
          <w:rFonts w:cstheme="minorHAnsi"/>
          <w:sz w:val="24"/>
          <w:szCs w:val="24"/>
        </w:rPr>
        <w:t xml:space="preserve">support ADPs to implement MAT and </w:t>
      </w:r>
      <w:r w:rsidR="00F3332C" w:rsidRPr="00C44B9C">
        <w:rPr>
          <w:rFonts w:cstheme="minorHAnsi"/>
          <w:sz w:val="24"/>
          <w:szCs w:val="24"/>
        </w:rPr>
        <w:t>undertake an annual benchmarking exercise</w:t>
      </w:r>
      <w:r w:rsidR="00A836CE" w:rsidRPr="00C44B9C">
        <w:rPr>
          <w:rFonts w:cstheme="minorHAnsi"/>
          <w:sz w:val="24"/>
          <w:szCs w:val="24"/>
        </w:rPr>
        <w:t xml:space="preserve"> to evaluate progress in each area </w:t>
      </w:r>
      <w:r w:rsidR="001B3E57" w:rsidRPr="00C44B9C">
        <w:rPr>
          <w:rFonts w:cstheme="minorHAnsi"/>
          <w:sz w:val="24"/>
          <w:szCs w:val="24"/>
        </w:rPr>
        <w:t>(</w:t>
      </w:r>
      <w:hyperlink r:id="rId14" w:tooltip="https://publichealthscotland.scot/publications/national-benchmarking-report-on-implementation-of-the-medication-assisted-treatment-mat-standards/national-benchmarking-report-on-the-implementation-of-the-medication-assisted-treatment-mat-standards-scotland" w:history="1">
        <w:r w:rsidR="00A836CE" w:rsidRPr="00C44B9C">
          <w:rPr>
            <w:rStyle w:val="Hyperlink"/>
            <w:rFonts w:cstheme="minorHAnsi"/>
            <w:sz w:val="24"/>
            <w:szCs w:val="24"/>
          </w:rPr>
          <w:t>PHS</w:t>
        </w:r>
        <w:r w:rsidR="001B3E57" w:rsidRPr="00C44B9C">
          <w:rPr>
            <w:rStyle w:val="Hyperlink"/>
            <w:rFonts w:cstheme="minorHAnsi"/>
            <w:sz w:val="24"/>
            <w:szCs w:val="24"/>
          </w:rPr>
          <w:t>)</w:t>
        </w:r>
      </w:hyperlink>
      <w:r w:rsidR="00A836CE" w:rsidRPr="00C44B9C">
        <w:rPr>
          <w:rFonts w:cstheme="minorHAnsi"/>
          <w:sz w:val="24"/>
          <w:szCs w:val="24"/>
        </w:rPr>
        <w:t>.</w:t>
      </w:r>
      <w:r w:rsidR="00F3332C" w:rsidRPr="00C44B9C">
        <w:rPr>
          <w:rFonts w:cstheme="minorHAnsi"/>
          <w:sz w:val="24"/>
          <w:szCs w:val="24"/>
        </w:rPr>
        <w:t xml:space="preserve"> </w:t>
      </w:r>
      <w:r w:rsidR="00EC7B8F" w:rsidRPr="00C44B9C">
        <w:rPr>
          <w:rFonts w:cstheme="minorHAnsi"/>
          <w:sz w:val="24"/>
          <w:szCs w:val="24"/>
        </w:rPr>
        <w:t>T</w:t>
      </w:r>
      <w:r w:rsidR="00F3332C" w:rsidRPr="00C44B9C">
        <w:rPr>
          <w:rFonts w:cstheme="minorHAnsi"/>
          <w:sz w:val="24"/>
          <w:szCs w:val="24"/>
        </w:rPr>
        <w:t>his is based on:</w:t>
      </w:r>
      <w:r w:rsidR="00EC7B8F" w:rsidRPr="00C44B9C">
        <w:rPr>
          <w:rFonts w:cstheme="minorHAnsi"/>
          <w:sz w:val="24"/>
          <w:szCs w:val="24"/>
        </w:rPr>
        <w:t xml:space="preserve"> </w:t>
      </w:r>
    </w:p>
    <w:p w14:paraId="6AFB5AE1" w14:textId="2DCB0732" w:rsidR="00EC7B8F" w:rsidRPr="00FF0102" w:rsidRDefault="00F3332C" w:rsidP="00FF0102">
      <w:pPr>
        <w:pStyle w:val="ListParagraph"/>
        <w:numPr>
          <w:ilvl w:val="0"/>
          <w:numId w:val="21"/>
        </w:numPr>
        <w:jc w:val="both"/>
        <w:rPr>
          <w:rFonts w:cstheme="minorHAnsi"/>
          <w:sz w:val="24"/>
          <w:szCs w:val="24"/>
        </w:rPr>
      </w:pPr>
      <w:r w:rsidRPr="00FF0102">
        <w:rPr>
          <w:rFonts w:cstheme="minorHAnsi"/>
          <w:sz w:val="24"/>
          <w:szCs w:val="24"/>
        </w:rPr>
        <w:t xml:space="preserve">Numerical </w:t>
      </w:r>
      <w:r w:rsidR="00EC7B8F" w:rsidRPr="00FF0102">
        <w:rPr>
          <w:rFonts w:cstheme="minorHAnsi"/>
          <w:sz w:val="24"/>
          <w:szCs w:val="24"/>
        </w:rPr>
        <w:t xml:space="preserve">data </w:t>
      </w:r>
    </w:p>
    <w:p w14:paraId="1EA0F103" w14:textId="71A24017" w:rsidR="00EC7B8F" w:rsidRPr="00FF0102" w:rsidRDefault="00F3332C" w:rsidP="00FF0102">
      <w:pPr>
        <w:pStyle w:val="ListParagraph"/>
        <w:numPr>
          <w:ilvl w:val="0"/>
          <w:numId w:val="21"/>
        </w:numPr>
        <w:jc w:val="both"/>
        <w:rPr>
          <w:rFonts w:cstheme="minorHAnsi"/>
          <w:sz w:val="24"/>
          <w:szCs w:val="24"/>
        </w:rPr>
      </w:pPr>
      <w:r w:rsidRPr="00FF0102">
        <w:rPr>
          <w:rFonts w:cstheme="minorHAnsi"/>
          <w:sz w:val="24"/>
          <w:szCs w:val="24"/>
        </w:rPr>
        <w:t>Process measures</w:t>
      </w:r>
      <w:r w:rsidR="00EC7B8F" w:rsidRPr="00FF0102">
        <w:rPr>
          <w:rFonts w:cstheme="minorHAnsi"/>
          <w:sz w:val="24"/>
          <w:szCs w:val="24"/>
        </w:rPr>
        <w:t xml:space="preserve"> (</w:t>
      </w:r>
      <w:r w:rsidRPr="00FF0102">
        <w:rPr>
          <w:rFonts w:cstheme="minorHAnsi"/>
          <w:sz w:val="24"/>
          <w:szCs w:val="24"/>
        </w:rPr>
        <w:t>mainly Service Standard Operating Procedures</w:t>
      </w:r>
      <w:r w:rsidR="00BF4E15" w:rsidRPr="00FF0102">
        <w:rPr>
          <w:rFonts w:cstheme="minorHAnsi"/>
          <w:sz w:val="24"/>
          <w:szCs w:val="24"/>
        </w:rPr>
        <w:t>).</w:t>
      </w:r>
      <w:r w:rsidR="00EC7B8F" w:rsidRPr="00FF0102">
        <w:rPr>
          <w:rFonts w:cstheme="minorHAnsi"/>
          <w:sz w:val="24"/>
          <w:szCs w:val="24"/>
        </w:rPr>
        <w:t xml:space="preserve"> </w:t>
      </w:r>
    </w:p>
    <w:p w14:paraId="0F765A62" w14:textId="1B92B61E" w:rsidR="00F3332C" w:rsidRPr="00FF0102" w:rsidRDefault="00F3332C" w:rsidP="00FF0102">
      <w:pPr>
        <w:pStyle w:val="ListParagraph"/>
        <w:numPr>
          <w:ilvl w:val="0"/>
          <w:numId w:val="21"/>
        </w:numPr>
        <w:jc w:val="both"/>
        <w:rPr>
          <w:rFonts w:cstheme="minorHAnsi"/>
          <w:sz w:val="24"/>
          <w:szCs w:val="24"/>
        </w:rPr>
      </w:pPr>
      <w:r w:rsidRPr="00FF0102">
        <w:rPr>
          <w:rFonts w:cstheme="minorHAnsi"/>
          <w:sz w:val="24"/>
          <w:szCs w:val="24"/>
        </w:rPr>
        <w:t xml:space="preserve">Experiential feedback from interviews with service users, their families and service staff </w:t>
      </w:r>
    </w:p>
    <w:p w14:paraId="4A76080A" w14:textId="304C02D8" w:rsidR="00F3332C" w:rsidRPr="00C44B9C" w:rsidRDefault="00FF0102" w:rsidP="008160B0">
      <w:pPr>
        <w:ind w:left="720" w:hanging="720"/>
        <w:rPr>
          <w:rFonts w:cstheme="minorHAnsi"/>
          <w:sz w:val="24"/>
          <w:szCs w:val="24"/>
        </w:rPr>
      </w:pPr>
      <w:r>
        <w:rPr>
          <w:rFonts w:cstheme="minorHAnsi"/>
          <w:sz w:val="24"/>
          <w:szCs w:val="24"/>
        </w:rPr>
        <w:t>20</w:t>
      </w:r>
      <w:r w:rsidR="00CA7671">
        <w:rPr>
          <w:rFonts w:cstheme="minorHAnsi"/>
          <w:sz w:val="24"/>
          <w:szCs w:val="24"/>
        </w:rPr>
        <w:t>.</w:t>
      </w:r>
      <w:r>
        <w:rPr>
          <w:rFonts w:cstheme="minorHAnsi"/>
          <w:sz w:val="24"/>
          <w:szCs w:val="24"/>
        </w:rPr>
        <w:tab/>
      </w:r>
      <w:r w:rsidR="003706BD" w:rsidRPr="00C44B9C">
        <w:rPr>
          <w:rFonts w:cstheme="minorHAnsi"/>
          <w:sz w:val="24"/>
          <w:szCs w:val="24"/>
        </w:rPr>
        <w:t xml:space="preserve">Progress is </w:t>
      </w:r>
      <w:r w:rsidR="001818FC" w:rsidRPr="00C44B9C">
        <w:rPr>
          <w:rFonts w:cstheme="minorHAnsi"/>
          <w:sz w:val="24"/>
          <w:szCs w:val="24"/>
        </w:rPr>
        <w:t xml:space="preserve">expressed in </w:t>
      </w:r>
      <w:r w:rsidRPr="00C44B9C">
        <w:rPr>
          <w:rFonts w:cstheme="minorHAnsi"/>
          <w:sz w:val="24"/>
          <w:szCs w:val="24"/>
        </w:rPr>
        <w:t xml:space="preserve">Red, Amber, Green </w:t>
      </w:r>
      <w:r>
        <w:rPr>
          <w:rFonts w:cstheme="minorHAnsi"/>
          <w:sz w:val="24"/>
          <w:szCs w:val="24"/>
        </w:rPr>
        <w:t>(</w:t>
      </w:r>
      <w:r w:rsidR="001818FC" w:rsidRPr="00C44B9C">
        <w:rPr>
          <w:rFonts w:cstheme="minorHAnsi"/>
          <w:sz w:val="24"/>
          <w:szCs w:val="24"/>
        </w:rPr>
        <w:t>RAG”</w:t>
      </w:r>
      <w:r>
        <w:rPr>
          <w:rFonts w:cstheme="minorHAnsi"/>
          <w:sz w:val="24"/>
          <w:szCs w:val="24"/>
        </w:rPr>
        <w:t>)</w:t>
      </w:r>
      <w:r w:rsidR="001818FC" w:rsidRPr="00C44B9C">
        <w:rPr>
          <w:rFonts w:cstheme="minorHAnsi"/>
          <w:sz w:val="24"/>
          <w:szCs w:val="24"/>
        </w:rPr>
        <w:t xml:space="preserve"> status, where “green” indicates “fully implemented; “provisional Green” and “Amber” indicate “partially implemented”  </w:t>
      </w:r>
      <w:r w:rsidR="00CA7671">
        <w:rPr>
          <w:rFonts w:cstheme="minorHAnsi"/>
          <w:sz w:val="24"/>
          <w:szCs w:val="24"/>
        </w:rPr>
        <w:t>(</w:t>
      </w:r>
      <w:r w:rsidR="001818FC" w:rsidRPr="00C44B9C">
        <w:rPr>
          <w:rFonts w:cstheme="minorHAnsi"/>
          <w:sz w:val="24"/>
          <w:szCs w:val="24"/>
        </w:rPr>
        <w:t xml:space="preserve">see page 16 of </w:t>
      </w:r>
      <w:hyperlink r:id="rId15" w:history="1">
        <w:r w:rsidR="001818FC" w:rsidRPr="00C44B9C">
          <w:rPr>
            <w:rStyle w:val="Hyperlink"/>
            <w:rFonts w:cstheme="minorHAnsi"/>
            <w:sz w:val="24"/>
            <w:szCs w:val="24"/>
          </w:rPr>
          <w:t>this report</w:t>
        </w:r>
      </w:hyperlink>
      <w:r w:rsidR="001818FC" w:rsidRPr="00C44B9C">
        <w:rPr>
          <w:rFonts w:cstheme="minorHAnsi"/>
          <w:sz w:val="24"/>
          <w:szCs w:val="24"/>
        </w:rPr>
        <w:t>)</w:t>
      </w:r>
      <w:r w:rsidR="00CA7671">
        <w:rPr>
          <w:rFonts w:cstheme="minorHAnsi"/>
          <w:sz w:val="24"/>
          <w:szCs w:val="24"/>
        </w:rPr>
        <w:t>.</w:t>
      </w:r>
      <w:r w:rsidR="001818FC" w:rsidRPr="00C44B9C">
        <w:rPr>
          <w:rFonts w:cstheme="minorHAnsi"/>
          <w:sz w:val="24"/>
          <w:szCs w:val="24"/>
        </w:rPr>
        <w:t xml:space="preserve"> </w:t>
      </w:r>
      <w:r w:rsidR="00F3332C" w:rsidRPr="00C44B9C">
        <w:rPr>
          <w:rFonts w:cstheme="minorHAnsi"/>
          <w:sz w:val="24"/>
          <w:szCs w:val="24"/>
        </w:rPr>
        <w:t>The table below summari</w:t>
      </w:r>
      <w:r w:rsidR="00200C1A" w:rsidRPr="00C44B9C">
        <w:rPr>
          <w:rFonts w:cstheme="minorHAnsi"/>
          <w:sz w:val="24"/>
          <w:szCs w:val="24"/>
        </w:rPr>
        <w:t>s</w:t>
      </w:r>
      <w:r w:rsidR="00F3332C" w:rsidRPr="00C44B9C">
        <w:rPr>
          <w:rFonts w:cstheme="minorHAnsi"/>
          <w:sz w:val="24"/>
          <w:szCs w:val="24"/>
        </w:rPr>
        <w:t xml:space="preserve">es Edinburgh’s progress </w:t>
      </w:r>
      <w:r w:rsidR="001818FC" w:rsidRPr="00C44B9C">
        <w:rPr>
          <w:rFonts w:cstheme="minorHAnsi"/>
          <w:sz w:val="24"/>
          <w:szCs w:val="24"/>
        </w:rPr>
        <w:t>in 2023-24</w:t>
      </w:r>
      <w:r w:rsidR="00F3332C" w:rsidRPr="00C44B9C">
        <w:rPr>
          <w:rFonts w:cstheme="minorHAnsi"/>
          <w:sz w:val="24"/>
          <w:szCs w:val="24"/>
        </w:rPr>
        <w:t>. It shows significant</w:t>
      </w:r>
      <w:r w:rsidR="001818FC" w:rsidRPr="00C44B9C">
        <w:rPr>
          <w:rFonts w:cstheme="minorHAnsi"/>
          <w:sz w:val="24"/>
          <w:szCs w:val="24"/>
        </w:rPr>
        <w:t xml:space="preserve"> improvement</w:t>
      </w:r>
      <w:r w:rsidR="003706BD" w:rsidRPr="00C44B9C">
        <w:rPr>
          <w:rFonts w:cstheme="minorHAnsi"/>
          <w:sz w:val="24"/>
          <w:szCs w:val="24"/>
        </w:rPr>
        <w:t xml:space="preserve"> and degrees of improvement in line with national and local expectations. </w:t>
      </w:r>
    </w:p>
    <w:tbl>
      <w:tblPr>
        <w:tblStyle w:val="TableGrid"/>
        <w:tblW w:w="9781" w:type="dxa"/>
        <w:tblInd w:w="-5" w:type="dxa"/>
        <w:tblLayout w:type="fixed"/>
        <w:tblLook w:val="04A0" w:firstRow="1" w:lastRow="0" w:firstColumn="1" w:lastColumn="0" w:noHBand="0" w:noVBand="1"/>
      </w:tblPr>
      <w:tblGrid>
        <w:gridCol w:w="851"/>
        <w:gridCol w:w="850"/>
        <w:gridCol w:w="851"/>
        <w:gridCol w:w="850"/>
        <w:gridCol w:w="851"/>
        <w:gridCol w:w="1134"/>
        <w:gridCol w:w="1134"/>
        <w:gridCol w:w="1276"/>
        <w:gridCol w:w="850"/>
        <w:gridCol w:w="1134"/>
      </w:tblGrid>
      <w:tr w:rsidR="00CA7671" w:rsidRPr="00C44B9C" w14:paraId="62729024" w14:textId="77777777" w:rsidTr="00CA7671">
        <w:trPr>
          <w:trHeight w:val="665"/>
        </w:trPr>
        <w:tc>
          <w:tcPr>
            <w:tcW w:w="851" w:type="dxa"/>
            <w:shd w:val="clear" w:color="auto" w:fill="00B050"/>
          </w:tcPr>
          <w:p w14:paraId="5DFDAC49" w14:textId="0AD1E8D8" w:rsidR="001818FC" w:rsidRPr="00CA7671" w:rsidRDefault="001818FC" w:rsidP="001818FC">
            <w:pPr>
              <w:jc w:val="both"/>
              <w:rPr>
                <w:rFonts w:asciiTheme="minorHAnsi" w:hAnsiTheme="minorHAnsi" w:cstheme="minorHAnsi"/>
              </w:rPr>
            </w:pPr>
            <w:r w:rsidRPr="00CA7671">
              <w:rPr>
                <w:rFonts w:asciiTheme="minorHAnsi" w:hAnsiTheme="minorHAnsi" w:cstheme="minorHAnsi"/>
              </w:rPr>
              <w:t>MAT 1</w:t>
            </w:r>
          </w:p>
        </w:tc>
        <w:tc>
          <w:tcPr>
            <w:tcW w:w="850" w:type="dxa"/>
            <w:shd w:val="clear" w:color="auto" w:fill="00B050"/>
          </w:tcPr>
          <w:p w14:paraId="0B751370" w14:textId="4B0ADCE9" w:rsidR="001818FC" w:rsidRPr="00CA7671" w:rsidRDefault="001818FC" w:rsidP="001818FC">
            <w:pPr>
              <w:jc w:val="both"/>
              <w:rPr>
                <w:rFonts w:asciiTheme="minorHAnsi" w:hAnsiTheme="minorHAnsi" w:cstheme="minorHAnsi"/>
              </w:rPr>
            </w:pPr>
            <w:r w:rsidRPr="00CA7671">
              <w:rPr>
                <w:rFonts w:asciiTheme="minorHAnsi" w:hAnsiTheme="minorHAnsi" w:cstheme="minorHAnsi"/>
              </w:rPr>
              <w:t>MAT 2</w:t>
            </w:r>
          </w:p>
        </w:tc>
        <w:tc>
          <w:tcPr>
            <w:tcW w:w="851" w:type="dxa"/>
            <w:shd w:val="clear" w:color="auto" w:fill="00B050"/>
          </w:tcPr>
          <w:p w14:paraId="25776D81" w14:textId="4EBA494A" w:rsidR="001818FC" w:rsidRPr="00CA7671" w:rsidRDefault="001818FC" w:rsidP="001818FC">
            <w:pPr>
              <w:jc w:val="both"/>
              <w:rPr>
                <w:rFonts w:asciiTheme="minorHAnsi" w:hAnsiTheme="minorHAnsi" w:cstheme="minorHAnsi"/>
              </w:rPr>
            </w:pPr>
            <w:r w:rsidRPr="00CA7671">
              <w:rPr>
                <w:rFonts w:asciiTheme="minorHAnsi" w:hAnsiTheme="minorHAnsi" w:cstheme="minorHAnsi"/>
              </w:rPr>
              <w:t>MAT 3</w:t>
            </w:r>
          </w:p>
        </w:tc>
        <w:tc>
          <w:tcPr>
            <w:tcW w:w="850" w:type="dxa"/>
            <w:shd w:val="clear" w:color="auto" w:fill="00B050"/>
          </w:tcPr>
          <w:p w14:paraId="71B0C214" w14:textId="6924D787" w:rsidR="001818FC" w:rsidRPr="00CA7671" w:rsidRDefault="001818FC" w:rsidP="001818FC">
            <w:pPr>
              <w:jc w:val="both"/>
              <w:rPr>
                <w:rFonts w:asciiTheme="minorHAnsi" w:hAnsiTheme="minorHAnsi" w:cstheme="minorHAnsi"/>
              </w:rPr>
            </w:pPr>
            <w:r w:rsidRPr="00CA7671">
              <w:rPr>
                <w:rFonts w:asciiTheme="minorHAnsi" w:hAnsiTheme="minorHAnsi" w:cstheme="minorHAnsi"/>
              </w:rPr>
              <w:t>MAT 4</w:t>
            </w:r>
          </w:p>
        </w:tc>
        <w:tc>
          <w:tcPr>
            <w:tcW w:w="851" w:type="dxa"/>
            <w:shd w:val="clear" w:color="auto" w:fill="00B050"/>
          </w:tcPr>
          <w:p w14:paraId="25127FC4" w14:textId="26EFCFA7" w:rsidR="001818FC" w:rsidRPr="00CA7671" w:rsidRDefault="001818FC" w:rsidP="001818FC">
            <w:pPr>
              <w:jc w:val="both"/>
              <w:rPr>
                <w:rFonts w:asciiTheme="minorHAnsi" w:hAnsiTheme="minorHAnsi" w:cstheme="minorHAnsi"/>
              </w:rPr>
            </w:pPr>
            <w:r w:rsidRPr="00CA7671">
              <w:rPr>
                <w:rFonts w:asciiTheme="minorHAnsi" w:hAnsiTheme="minorHAnsi" w:cstheme="minorHAnsi"/>
              </w:rPr>
              <w:t>MAT 5</w:t>
            </w:r>
          </w:p>
        </w:tc>
        <w:tc>
          <w:tcPr>
            <w:tcW w:w="1134" w:type="dxa"/>
            <w:shd w:val="clear" w:color="auto" w:fill="C5E0B3" w:themeFill="accent6" w:themeFillTint="66"/>
          </w:tcPr>
          <w:p w14:paraId="51BC377A" w14:textId="123A65B5" w:rsidR="001818FC" w:rsidRPr="00CA7671" w:rsidRDefault="001818FC" w:rsidP="001818FC">
            <w:pPr>
              <w:jc w:val="both"/>
              <w:rPr>
                <w:rFonts w:asciiTheme="minorHAnsi" w:hAnsiTheme="minorHAnsi" w:cstheme="minorHAnsi"/>
              </w:rPr>
            </w:pPr>
            <w:r w:rsidRPr="00CA7671">
              <w:rPr>
                <w:rFonts w:asciiTheme="minorHAnsi" w:hAnsiTheme="minorHAnsi" w:cstheme="minorHAnsi"/>
              </w:rPr>
              <w:t>MAT 6</w:t>
            </w:r>
          </w:p>
        </w:tc>
        <w:tc>
          <w:tcPr>
            <w:tcW w:w="1134" w:type="dxa"/>
            <w:shd w:val="clear" w:color="auto" w:fill="C5E0B3" w:themeFill="accent6" w:themeFillTint="66"/>
          </w:tcPr>
          <w:p w14:paraId="3CA922C8" w14:textId="54F23346" w:rsidR="001818FC" w:rsidRPr="00CA7671" w:rsidRDefault="001818FC" w:rsidP="001818FC">
            <w:pPr>
              <w:jc w:val="both"/>
              <w:rPr>
                <w:rFonts w:asciiTheme="minorHAnsi" w:hAnsiTheme="minorHAnsi" w:cstheme="minorHAnsi"/>
              </w:rPr>
            </w:pPr>
            <w:r w:rsidRPr="00CA7671">
              <w:rPr>
                <w:rFonts w:asciiTheme="minorHAnsi" w:hAnsiTheme="minorHAnsi" w:cstheme="minorHAnsi"/>
              </w:rPr>
              <w:t>MAT 7</w:t>
            </w:r>
          </w:p>
        </w:tc>
        <w:tc>
          <w:tcPr>
            <w:tcW w:w="1276" w:type="dxa"/>
            <w:shd w:val="clear" w:color="auto" w:fill="C5E0B3" w:themeFill="accent6" w:themeFillTint="66"/>
          </w:tcPr>
          <w:p w14:paraId="3FA815DE" w14:textId="7EF1F8A5" w:rsidR="001818FC" w:rsidRPr="00CA7671" w:rsidRDefault="001818FC" w:rsidP="001818FC">
            <w:pPr>
              <w:jc w:val="both"/>
              <w:rPr>
                <w:rFonts w:asciiTheme="minorHAnsi" w:hAnsiTheme="minorHAnsi" w:cstheme="minorHAnsi"/>
              </w:rPr>
            </w:pPr>
            <w:r w:rsidRPr="00CA7671">
              <w:rPr>
                <w:rFonts w:asciiTheme="minorHAnsi" w:hAnsiTheme="minorHAnsi" w:cstheme="minorHAnsi"/>
              </w:rPr>
              <w:t>MAT 8</w:t>
            </w:r>
          </w:p>
        </w:tc>
        <w:tc>
          <w:tcPr>
            <w:tcW w:w="850" w:type="dxa"/>
            <w:shd w:val="clear" w:color="auto" w:fill="FFC000"/>
          </w:tcPr>
          <w:p w14:paraId="2E5BBCDE" w14:textId="4C16875C" w:rsidR="001818FC" w:rsidRPr="00CA7671" w:rsidRDefault="001818FC" w:rsidP="001818FC">
            <w:pPr>
              <w:jc w:val="both"/>
              <w:rPr>
                <w:rFonts w:asciiTheme="minorHAnsi" w:hAnsiTheme="minorHAnsi" w:cstheme="minorHAnsi"/>
              </w:rPr>
            </w:pPr>
            <w:r w:rsidRPr="00CA7671">
              <w:rPr>
                <w:rFonts w:asciiTheme="minorHAnsi" w:hAnsiTheme="minorHAnsi" w:cstheme="minorHAnsi"/>
              </w:rPr>
              <w:t>MAT 9</w:t>
            </w:r>
          </w:p>
        </w:tc>
        <w:tc>
          <w:tcPr>
            <w:tcW w:w="1134" w:type="dxa"/>
            <w:shd w:val="clear" w:color="auto" w:fill="C5E0B3" w:themeFill="accent6" w:themeFillTint="66"/>
          </w:tcPr>
          <w:p w14:paraId="1069549D" w14:textId="621ED899" w:rsidR="001818FC" w:rsidRPr="00CA7671" w:rsidRDefault="001818FC" w:rsidP="001818FC">
            <w:pPr>
              <w:jc w:val="both"/>
              <w:rPr>
                <w:rFonts w:asciiTheme="minorHAnsi" w:hAnsiTheme="minorHAnsi" w:cstheme="minorHAnsi"/>
              </w:rPr>
            </w:pPr>
            <w:r w:rsidRPr="00CA7671">
              <w:rPr>
                <w:rFonts w:asciiTheme="minorHAnsi" w:hAnsiTheme="minorHAnsi" w:cstheme="minorHAnsi"/>
              </w:rPr>
              <w:t xml:space="preserve">MAT 10 </w:t>
            </w:r>
          </w:p>
        </w:tc>
      </w:tr>
      <w:tr w:rsidR="00CA7671" w:rsidRPr="00C44B9C" w14:paraId="2A616FF3" w14:textId="77777777" w:rsidTr="00CA7671">
        <w:trPr>
          <w:trHeight w:val="454"/>
        </w:trPr>
        <w:tc>
          <w:tcPr>
            <w:tcW w:w="851" w:type="dxa"/>
            <w:shd w:val="clear" w:color="auto" w:fill="00B050"/>
          </w:tcPr>
          <w:p w14:paraId="29160A93" w14:textId="62AE5902" w:rsidR="001818FC" w:rsidRPr="00CA7671" w:rsidRDefault="001818FC" w:rsidP="001818FC">
            <w:pPr>
              <w:jc w:val="both"/>
              <w:rPr>
                <w:rFonts w:asciiTheme="minorHAnsi" w:hAnsiTheme="minorHAnsi" w:cstheme="minorHAnsi"/>
              </w:rPr>
            </w:pPr>
            <w:r w:rsidRPr="00CA7671">
              <w:rPr>
                <w:rFonts w:asciiTheme="minorHAnsi" w:hAnsiTheme="minorHAnsi" w:cstheme="minorHAnsi"/>
              </w:rPr>
              <w:t>Green</w:t>
            </w:r>
          </w:p>
        </w:tc>
        <w:tc>
          <w:tcPr>
            <w:tcW w:w="850" w:type="dxa"/>
            <w:shd w:val="clear" w:color="auto" w:fill="00B050"/>
          </w:tcPr>
          <w:p w14:paraId="4DA06652" w14:textId="5EC30A4D" w:rsidR="001818FC" w:rsidRPr="00CA7671" w:rsidRDefault="001818FC" w:rsidP="001818FC">
            <w:pPr>
              <w:jc w:val="both"/>
              <w:rPr>
                <w:rFonts w:asciiTheme="minorHAnsi" w:hAnsiTheme="minorHAnsi" w:cstheme="minorHAnsi"/>
              </w:rPr>
            </w:pPr>
            <w:r w:rsidRPr="00CA7671">
              <w:rPr>
                <w:rFonts w:asciiTheme="minorHAnsi" w:hAnsiTheme="minorHAnsi" w:cstheme="minorHAnsi"/>
              </w:rPr>
              <w:t>Green</w:t>
            </w:r>
          </w:p>
        </w:tc>
        <w:tc>
          <w:tcPr>
            <w:tcW w:w="851" w:type="dxa"/>
            <w:shd w:val="clear" w:color="auto" w:fill="00B050"/>
          </w:tcPr>
          <w:p w14:paraId="1D82251E" w14:textId="7B6F25E1" w:rsidR="001818FC" w:rsidRPr="00CA7671" w:rsidRDefault="001818FC" w:rsidP="001818FC">
            <w:pPr>
              <w:jc w:val="both"/>
              <w:rPr>
                <w:rFonts w:asciiTheme="minorHAnsi" w:hAnsiTheme="minorHAnsi" w:cstheme="minorHAnsi"/>
              </w:rPr>
            </w:pPr>
            <w:r w:rsidRPr="00CA7671">
              <w:rPr>
                <w:rFonts w:asciiTheme="minorHAnsi" w:hAnsiTheme="minorHAnsi" w:cstheme="minorHAnsi"/>
              </w:rPr>
              <w:t>Green</w:t>
            </w:r>
          </w:p>
        </w:tc>
        <w:tc>
          <w:tcPr>
            <w:tcW w:w="850" w:type="dxa"/>
            <w:shd w:val="clear" w:color="auto" w:fill="00B050"/>
          </w:tcPr>
          <w:p w14:paraId="24D6B4C2" w14:textId="720D16E1" w:rsidR="001818FC" w:rsidRPr="00CA7671" w:rsidRDefault="001818FC" w:rsidP="001818FC">
            <w:pPr>
              <w:jc w:val="both"/>
              <w:rPr>
                <w:rFonts w:asciiTheme="minorHAnsi" w:hAnsiTheme="minorHAnsi" w:cstheme="minorHAnsi"/>
              </w:rPr>
            </w:pPr>
            <w:r w:rsidRPr="00CA7671">
              <w:rPr>
                <w:rFonts w:asciiTheme="minorHAnsi" w:hAnsiTheme="minorHAnsi" w:cstheme="minorHAnsi"/>
              </w:rPr>
              <w:t>Green</w:t>
            </w:r>
          </w:p>
        </w:tc>
        <w:tc>
          <w:tcPr>
            <w:tcW w:w="851" w:type="dxa"/>
            <w:shd w:val="clear" w:color="auto" w:fill="00B050"/>
          </w:tcPr>
          <w:p w14:paraId="5BE14D8B" w14:textId="7B33B689" w:rsidR="001818FC" w:rsidRPr="00CA7671" w:rsidRDefault="001818FC" w:rsidP="001818FC">
            <w:pPr>
              <w:jc w:val="both"/>
              <w:rPr>
                <w:rFonts w:asciiTheme="minorHAnsi" w:hAnsiTheme="minorHAnsi" w:cstheme="minorHAnsi"/>
              </w:rPr>
            </w:pPr>
            <w:r w:rsidRPr="00CA7671">
              <w:rPr>
                <w:rFonts w:asciiTheme="minorHAnsi" w:hAnsiTheme="minorHAnsi" w:cstheme="minorHAnsi"/>
              </w:rPr>
              <w:t>Green</w:t>
            </w:r>
          </w:p>
        </w:tc>
        <w:tc>
          <w:tcPr>
            <w:tcW w:w="1134" w:type="dxa"/>
            <w:shd w:val="clear" w:color="auto" w:fill="C5E0B3" w:themeFill="accent6" w:themeFillTint="66"/>
          </w:tcPr>
          <w:p w14:paraId="6D68A9E1" w14:textId="1BFB5E3C" w:rsidR="001818FC" w:rsidRPr="00CA7671" w:rsidRDefault="001818FC" w:rsidP="001818FC">
            <w:pPr>
              <w:jc w:val="both"/>
              <w:rPr>
                <w:rFonts w:asciiTheme="minorHAnsi" w:hAnsiTheme="minorHAnsi" w:cstheme="minorHAnsi"/>
              </w:rPr>
            </w:pPr>
            <w:r w:rsidRPr="00CA7671">
              <w:rPr>
                <w:rFonts w:asciiTheme="minorHAnsi" w:hAnsiTheme="minorHAnsi" w:cstheme="minorHAnsi"/>
              </w:rPr>
              <w:t>Provisional Green</w:t>
            </w:r>
          </w:p>
        </w:tc>
        <w:tc>
          <w:tcPr>
            <w:tcW w:w="1134" w:type="dxa"/>
            <w:shd w:val="clear" w:color="auto" w:fill="C5E0B3" w:themeFill="accent6" w:themeFillTint="66"/>
          </w:tcPr>
          <w:p w14:paraId="634A1B84" w14:textId="1A5B54F3" w:rsidR="001818FC" w:rsidRPr="00CA7671" w:rsidRDefault="001818FC" w:rsidP="001818FC">
            <w:pPr>
              <w:jc w:val="both"/>
              <w:rPr>
                <w:rFonts w:asciiTheme="minorHAnsi" w:hAnsiTheme="minorHAnsi" w:cstheme="minorHAnsi"/>
              </w:rPr>
            </w:pPr>
            <w:r w:rsidRPr="00CA7671">
              <w:rPr>
                <w:rFonts w:asciiTheme="minorHAnsi" w:hAnsiTheme="minorHAnsi" w:cstheme="minorHAnsi"/>
              </w:rPr>
              <w:t>Provisional Green</w:t>
            </w:r>
          </w:p>
        </w:tc>
        <w:tc>
          <w:tcPr>
            <w:tcW w:w="1276" w:type="dxa"/>
            <w:shd w:val="clear" w:color="auto" w:fill="C5E0B3" w:themeFill="accent6" w:themeFillTint="66"/>
          </w:tcPr>
          <w:p w14:paraId="2D0E7DAE" w14:textId="3CD6A9B2" w:rsidR="001818FC" w:rsidRPr="00CA7671" w:rsidRDefault="001818FC" w:rsidP="001818FC">
            <w:pPr>
              <w:jc w:val="both"/>
              <w:rPr>
                <w:rFonts w:asciiTheme="minorHAnsi" w:hAnsiTheme="minorHAnsi" w:cstheme="minorHAnsi"/>
              </w:rPr>
            </w:pPr>
            <w:r w:rsidRPr="00CA7671">
              <w:rPr>
                <w:rFonts w:asciiTheme="minorHAnsi" w:hAnsiTheme="minorHAnsi" w:cstheme="minorHAnsi"/>
              </w:rPr>
              <w:t>Provisional Green</w:t>
            </w:r>
          </w:p>
        </w:tc>
        <w:tc>
          <w:tcPr>
            <w:tcW w:w="850" w:type="dxa"/>
            <w:shd w:val="clear" w:color="auto" w:fill="FFC000"/>
          </w:tcPr>
          <w:p w14:paraId="1FF8572D" w14:textId="310F06CD" w:rsidR="001818FC" w:rsidRPr="00CA7671" w:rsidRDefault="001818FC" w:rsidP="001818FC">
            <w:pPr>
              <w:jc w:val="both"/>
              <w:rPr>
                <w:rFonts w:asciiTheme="minorHAnsi" w:hAnsiTheme="minorHAnsi" w:cstheme="minorHAnsi"/>
              </w:rPr>
            </w:pPr>
            <w:r w:rsidRPr="00CA7671">
              <w:rPr>
                <w:rFonts w:asciiTheme="minorHAnsi" w:hAnsiTheme="minorHAnsi" w:cstheme="minorHAnsi"/>
              </w:rPr>
              <w:t xml:space="preserve">Amber </w:t>
            </w:r>
          </w:p>
        </w:tc>
        <w:tc>
          <w:tcPr>
            <w:tcW w:w="1134" w:type="dxa"/>
            <w:shd w:val="clear" w:color="auto" w:fill="C5E0B3" w:themeFill="accent6" w:themeFillTint="66"/>
          </w:tcPr>
          <w:p w14:paraId="15352075" w14:textId="2CEBE2D2" w:rsidR="001818FC" w:rsidRPr="00CA7671" w:rsidRDefault="001818FC" w:rsidP="001818FC">
            <w:pPr>
              <w:jc w:val="both"/>
              <w:rPr>
                <w:rFonts w:asciiTheme="minorHAnsi" w:hAnsiTheme="minorHAnsi" w:cstheme="minorHAnsi"/>
              </w:rPr>
            </w:pPr>
            <w:r w:rsidRPr="00CA7671">
              <w:rPr>
                <w:rFonts w:asciiTheme="minorHAnsi" w:hAnsiTheme="minorHAnsi" w:cstheme="minorHAnsi"/>
              </w:rPr>
              <w:t>Provisional Green</w:t>
            </w:r>
          </w:p>
        </w:tc>
      </w:tr>
    </w:tbl>
    <w:p w14:paraId="14A37EB1" w14:textId="77777777" w:rsidR="003706BD" w:rsidRDefault="003706BD" w:rsidP="00F3332C">
      <w:pPr>
        <w:pStyle w:val="Heading4"/>
        <w:ind w:left="720" w:hanging="720"/>
        <w:jc w:val="both"/>
        <w:rPr>
          <w:rFonts w:asciiTheme="minorHAnsi" w:hAnsiTheme="minorHAnsi" w:cstheme="minorHAnsi"/>
          <w:b/>
          <w:bCs/>
          <w:i w:val="0"/>
          <w:iCs w:val="0"/>
          <w:color w:val="000000" w:themeColor="text1"/>
          <w:sz w:val="24"/>
          <w:szCs w:val="24"/>
        </w:rPr>
      </w:pPr>
      <w:bookmarkStart w:id="16" w:name="_Toc106377037"/>
    </w:p>
    <w:p w14:paraId="0902F4A5" w14:textId="77777777" w:rsidR="008160B0" w:rsidRPr="008160B0" w:rsidRDefault="008160B0" w:rsidP="008160B0"/>
    <w:p w14:paraId="02D2FF69" w14:textId="7BE833CF" w:rsidR="002A7CD6" w:rsidRPr="00C44B9C" w:rsidRDefault="00CA7671" w:rsidP="00CA7671">
      <w:pPr>
        <w:ind w:left="720" w:hanging="720"/>
        <w:rPr>
          <w:rFonts w:cstheme="minorHAnsi"/>
          <w:b/>
          <w:bCs/>
          <w:sz w:val="24"/>
          <w:szCs w:val="24"/>
        </w:rPr>
      </w:pPr>
      <w:bookmarkStart w:id="17" w:name="_Toc106377041"/>
      <w:bookmarkEnd w:id="16"/>
      <w:r>
        <w:rPr>
          <w:rFonts w:cstheme="minorHAnsi"/>
          <w:b/>
          <w:bCs/>
          <w:sz w:val="24"/>
          <w:szCs w:val="24"/>
        </w:rPr>
        <w:lastRenderedPageBreak/>
        <w:t>21.</w:t>
      </w:r>
      <w:r>
        <w:rPr>
          <w:rFonts w:cstheme="minorHAnsi"/>
          <w:b/>
          <w:bCs/>
          <w:sz w:val="24"/>
          <w:szCs w:val="24"/>
        </w:rPr>
        <w:tab/>
      </w:r>
      <w:r w:rsidR="002A7CD6" w:rsidRPr="00C44B9C">
        <w:rPr>
          <w:rFonts w:cstheme="minorHAnsi"/>
          <w:b/>
          <w:bCs/>
          <w:sz w:val="24"/>
          <w:szCs w:val="24"/>
        </w:rPr>
        <w:t>MAT Standard 1: All people accessing services have the option to start MAT from the same day of presentation</w:t>
      </w:r>
      <w:bookmarkStart w:id="18" w:name="_Hlk172321697"/>
      <w:r>
        <w:rPr>
          <w:rFonts w:cstheme="minorHAnsi"/>
          <w:b/>
          <w:bCs/>
          <w:sz w:val="24"/>
          <w:szCs w:val="24"/>
        </w:rPr>
        <w:t xml:space="preserve"> </w:t>
      </w:r>
      <w:bookmarkEnd w:id="18"/>
      <w:r w:rsidR="00BF4E15" w:rsidRPr="00CA7671">
        <w:rPr>
          <w:rFonts w:cstheme="minorHAnsi"/>
          <w:b/>
          <w:bCs/>
          <w:sz w:val="24"/>
          <w:szCs w:val="24"/>
        </w:rPr>
        <w:t>- Green</w:t>
      </w:r>
    </w:p>
    <w:p w14:paraId="739D10F8" w14:textId="455C4DEC" w:rsidR="002A7CD6" w:rsidRPr="00C44B9C" w:rsidRDefault="002A7CD6" w:rsidP="0039173A">
      <w:pPr>
        <w:ind w:left="720"/>
        <w:rPr>
          <w:rFonts w:cstheme="minorHAnsi"/>
          <w:sz w:val="24"/>
          <w:szCs w:val="24"/>
        </w:rPr>
      </w:pPr>
      <w:r w:rsidRPr="00C44B9C">
        <w:rPr>
          <w:rFonts w:cstheme="minorHAnsi"/>
          <w:sz w:val="24"/>
          <w:szCs w:val="24"/>
        </w:rPr>
        <w:t>Edinburgh MAT Access Clinic (EdMAC</w:t>
      </w:r>
      <w:r w:rsidR="0039173A">
        <w:rPr>
          <w:rFonts w:cstheme="minorHAnsi"/>
          <w:sz w:val="24"/>
          <w:szCs w:val="24"/>
        </w:rPr>
        <w:t xml:space="preserve">)was established </w:t>
      </w:r>
      <w:r w:rsidR="00BF4E15">
        <w:rPr>
          <w:rFonts w:cstheme="minorHAnsi"/>
          <w:sz w:val="24"/>
          <w:szCs w:val="24"/>
        </w:rPr>
        <w:t>to offer</w:t>
      </w:r>
      <w:r w:rsidRPr="00C44B9C">
        <w:rPr>
          <w:rFonts w:cstheme="minorHAnsi"/>
          <w:sz w:val="24"/>
          <w:szCs w:val="24"/>
        </w:rPr>
        <w:t xml:space="preserve"> people opioid substitution therapy on the same day that they </w:t>
      </w:r>
      <w:r w:rsidR="0039173A" w:rsidRPr="00C44B9C">
        <w:rPr>
          <w:rFonts w:cstheme="minorHAnsi"/>
          <w:sz w:val="24"/>
          <w:szCs w:val="24"/>
        </w:rPr>
        <w:t>present has</w:t>
      </w:r>
      <w:r w:rsidRPr="00C44B9C">
        <w:rPr>
          <w:rFonts w:cstheme="minorHAnsi"/>
          <w:sz w:val="24"/>
          <w:szCs w:val="24"/>
        </w:rPr>
        <w:t xml:space="preserve"> made steady and significant improvements on </w:t>
      </w:r>
      <w:r w:rsidR="0039173A">
        <w:rPr>
          <w:rFonts w:cstheme="minorHAnsi"/>
          <w:sz w:val="24"/>
          <w:szCs w:val="24"/>
        </w:rPr>
        <w:t xml:space="preserve">meeting </w:t>
      </w:r>
      <w:r w:rsidRPr="00C44B9C">
        <w:rPr>
          <w:rFonts w:cstheme="minorHAnsi"/>
          <w:sz w:val="24"/>
          <w:szCs w:val="24"/>
        </w:rPr>
        <w:t xml:space="preserve">this Standard over the last year. It now operates alongside </w:t>
      </w:r>
      <w:r w:rsidR="0039173A">
        <w:rPr>
          <w:rFonts w:cstheme="minorHAnsi"/>
          <w:sz w:val="24"/>
          <w:szCs w:val="24"/>
        </w:rPr>
        <w:t xml:space="preserve">the </w:t>
      </w:r>
      <w:r w:rsidRPr="00C44B9C">
        <w:rPr>
          <w:rFonts w:cstheme="minorHAnsi"/>
          <w:sz w:val="24"/>
          <w:szCs w:val="24"/>
        </w:rPr>
        <w:t xml:space="preserve">Edinburgh </w:t>
      </w:r>
      <w:r w:rsidR="0039173A">
        <w:rPr>
          <w:rFonts w:cstheme="minorHAnsi"/>
          <w:sz w:val="24"/>
          <w:szCs w:val="24"/>
        </w:rPr>
        <w:t>A</w:t>
      </w:r>
      <w:r w:rsidRPr="00C44B9C">
        <w:rPr>
          <w:rFonts w:cstheme="minorHAnsi"/>
          <w:sz w:val="24"/>
          <w:szCs w:val="24"/>
        </w:rPr>
        <w:t xml:space="preserve">ccess </w:t>
      </w:r>
      <w:r w:rsidR="0039173A">
        <w:rPr>
          <w:rFonts w:cstheme="minorHAnsi"/>
          <w:sz w:val="24"/>
          <w:szCs w:val="24"/>
        </w:rPr>
        <w:t>P</w:t>
      </w:r>
      <w:r w:rsidRPr="00C44B9C">
        <w:rPr>
          <w:rFonts w:cstheme="minorHAnsi"/>
          <w:sz w:val="24"/>
          <w:szCs w:val="24"/>
        </w:rPr>
        <w:t>ace who offer a similar model for people who are not registered with a local GP. In the last quarter to 31</w:t>
      </w:r>
      <w:r w:rsidRPr="00C44B9C">
        <w:rPr>
          <w:rFonts w:cstheme="minorHAnsi"/>
          <w:sz w:val="24"/>
          <w:szCs w:val="24"/>
          <w:vertAlign w:val="superscript"/>
        </w:rPr>
        <w:t>st</w:t>
      </w:r>
      <w:r w:rsidRPr="00C44B9C">
        <w:rPr>
          <w:rFonts w:cstheme="minorHAnsi"/>
          <w:sz w:val="24"/>
          <w:szCs w:val="24"/>
        </w:rPr>
        <w:t xml:space="preserve"> March 2024, of the 11 patients who presented, 75% started on prescribed OST within a day.</w:t>
      </w:r>
    </w:p>
    <w:p w14:paraId="5A3F46A2" w14:textId="42110A9E" w:rsidR="002A7CD6" w:rsidRPr="00C44B9C" w:rsidRDefault="0039173A" w:rsidP="0039173A">
      <w:pPr>
        <w:ind w:left="720" w:hanging="720"/>
        <w:rPr>
          <w:rFonts w:cstheme="minorHAnsi"/>
          <w:b/>
          <w:bCs/>
          <w:sz w:val="24"/>
          <w:szCs w:val="24"/>
        </w:rPr>
      </w:pPr>
      <w:r>
        <w:rPr>
          <w:rFonts w:cstheme="minorHAnsi"/>
          <w:b/>
          <w:bCs/>
          <w:sz w:val="24"/>
          <w:szCs w:val="24"/>
        </w:rPr>
        <w:t>22.</w:t>
      </w:r>
      <w:r>
        <w:rPr>
          <w:rFonts w:cstheme="minorHAnsi"/>
          <w:b/>
          <w:bCs/>
          <w:sz w:val="24"/>
          <w:szCs w:val="24"/>
        </w:rPr>
        <w:tab/>
      </w:r>
      <w:r w:rsidR="002A7CD6" w:rsidRPr="00C44B9C">
        <w:rPr>
          <w:rFonts w:cstheme="minorHAnsi"/>
          <w:b/>
          <w:bCs/>
          <w:sz w:val="24"/>
          <w:szCs w:val="24"/>
        </w:rPr>
        <w:t>MAT Standard 2: All people are supported to make an informed choice on what medication to use for MAT, and the appropriate dose</w:t>
      </w:r>
      <w:r>
        <w:rPr>
          <w:rFonts w:cstheme="minorHAnsi"/>
          <w:b/>
          <w:bCs/>
          <w:sz w:val="24"/>
          <w:szCs w:val="24"/>
        </w:rPr>
        <w:t xml:space="preserve"> - </w:t>
      </w:r>
      <w:r w:rsidR="002A7CD6" w:rsidRPr="00C44B9C">
        <w:rPr>
          <w:rFonts w:cstheme="minorHAnsi"/>
          <w:b/>
          <w:bCs/>
          <w:sz w:val="24"/>
          <w:szCs w:val="24"/>
        </w:rPr>
        <w:t>Green</w:t>
      </w:r>
    </w:p>
    <w:p w14:paraId="2763B13C" w14:textId="3A43DCB0" w:rsidR="0039173A" w:rsidRDefault="0039173A" w:rsidP="0039173A">
      <w:pPr>
        <w:ind w:left="720" w:hanging="720"/>
        <w:rPr>
          <w:rFonts w:cstheme="minorHAnsi"/>
          <w:sz w:val="24"/>
          <w:szCs w:val="24"/>
        </w:rPr>
      </w:pPr>
      <w:r>
        <w:rPr>
          <w:rFonts w:cstheme="minorHAnsi"/>
          <w:sz w:val="24"/>
          <w:szCs w:val="24"/>
        </w:rPr>
        <w:tab/>
      </w:r>
      <w:r w:rsidR="002A7CD6" w:rsidRPr="00C44B9C">
        <w:rPr>
          <w:rFonts w:cstheme="minorHAnsi"/>
          <w:sz w:val="24"/>
          <w:szCs w:val="24"/>
        </w:rPr>
        <w:t>With the renewed emphasis on choic</w:t>
      </w:r>
      <w:r>
        <w:rPr>
          <w:rFonts w:cstheme="minorHAnsi"/>
          <w:sz w:val="24"/>
          <w:szCs w:val="24"/>
        </w:rPr>
        <w:t>e, clients</w:t>
      </w:r>
      <w:r w:rsidR="002A7CD6" w:rsidRPr="00C44B9C">
        <w:rPr>
          <w:rFonts w:cstheme="minorHAnsi"/>
          <w:sz w:val="24"/>
          <w:szCs w:val="24"/>
        </w:rPr>
        <w:t xml:space="preserve"> have embraced the newer option of Long-Acting Injectable Buprenorphine (LAIB) for OST. Each injection lasts a month, freeing people from the need to make daily visits to their community pharmacy.</w:t>
      </w:r>
      <w:r w:rsidRPr="00C44B9C">
        <w:rPr>
          <w:rFonts w:cstheme="minorHAnsi"/>
          <w:sz w:val="24"/>
          <w:szCs w:val="24"/>
        </w:rPr>
        <w:t xml:space="preserve"> </w:t>
      </w:r>
      <w:r>
        <w:rPr>
          <w:rFonts w:cstheme="minorHAnsi"/>
          <w:sz w:val="24"/>
          <w:szCs w:val="24"/>
        </w:rPr>
        <w:t xml:space="preserve">In </w:t>
      </w:r>
      <w:r w:rsidRPr="00C44B9C">
        <w:rPr>
          <w:rFonts w:cstheme="minorHAnsi"/>
          <w:sz w:val="24"/>
          <w:szCs w:val="24"/>
        </w:rPr>
        <w:t xml:space="preserve">2020/21 </w:t>
      </w:r>
      <w:r>
        <w:rPr>
          <w:rFonts w:cstheme="minorHAnsi"/>
          <w:sz w:val="24"/>
          <w:szCs w:val="24"/>
        </w:rPr>
        <w:t xml:space="preserve">only </w:t>
      </w:r>
      <w:r w:rsidR="002A7CD6" w:rsidRPr="00C44B9C">
        <w:rPr>
          <w:rFonts w:cstheme="minorHAnsi"/>
          <w:sz w:val="24"/>
          <w:szCs w:val="24"/>
        </w:rPr>
        <w:t xml:space="preserve">2% of OST patients </w:t>
      </w:r>
      <w:r>
        <w:rPr>
          <w:rFonts w:cstheme="minorHAnsi"/>
          <w:sz w:val="24"/>
          <w:szCs w:val="24"/>
        </w:rPr>
        <w:t xml:space="preserve">were prescribed LAIB, this has now </w:t>
      </w:r>
      <w:r w:rsidRPr="00C44B9C">
        <w:rPr>
          <w:rFonts w:cstheme="minorHAnsi"/>
          <w:sz w:val="24"/>
          <w:szCs w:val="24"/>
        </w:rPr>
        <w:t>increased</w:t>
      </w:r>
      <w:r>
        <w:rPr>
          <w:rFonts w:cstheme="minorHAnsi"/>
          <w:sz w:val="24"/>
          <w:szCs w:val="24"/>
        </w:rPr>
        <w:t xml:space="preserve"> to</w:t>
      </w:r>
      <w:r w:rsidR="002A7CD6" w:rsidRPr="00C44B9C">
        <w:rPr>
          <w:rFonts w:cstheme="minorHAnsi"/>
          <w:sz w:val="24"/>
          <w:szCs w:val="24"/>
        </w:rPr>
        <w:t xml:space="preserve"> 14% in 2023/24. </w:t>
      </w:r>
    </w:p>
    <w:p w14:paraId="187B8C33" w14:textId="09BA5B91" w:rsidR="002A7CD6" w:rsidRPr="00C44B9C" w:rsidRDefault="002A7CD6" w:rsidP="0039173A">
      <w:pPr>
        <w:ind w:left="720"/>
        <w:rPr>
          <w:rFonts w:cstheme="minorHAnsi"/>
          <w:sz w:val="24"/>
          <w:szCs w:val="24"/>
        </w:rPr>
      </w:pPr>
      <w:r w:rsidRPr="00C44B9C">
        <w:rPr>
          <w:rFonts w:cstheme="minorHAnsi"/>
          <w:sz w:val="24"/>
          <w:szCs w:val="24"/>
        </w:rPr>
        <w:t xml:space="preserve">There is an ongoing study of LAIB administration at </w:t>
      </w:r>
      <w:r w:rsidR="0039173A">
        <w:rPr>
          <w:rFonts w:cstheme="minorHAnsi"/>
          <w:sz w:val="24"/>
          <w:szCs w:val="24"/>
        </w:rPr>
        <w:t>C</w:t>
      </w:r>
      <w:r w:rsidRPr="00C44B9C">
        <w:rPr>
          <w:rFonts w:cstheme="minorHAnsi"/>
          <w:sz w:val="24"/>
          <w:szCs w:val="24"/>
        </w:rPr>
        <w:t xml:space="preserve">ommunity </w:t>
      </w:r>
      <w:r w:rsidR="0039173A">
        <w:rPr>
          <w:rFonts w:cstheme="minorHAnsi"/>
          <w:sz w:val="24"/>
          <w:szCs w:val="24"/>
        </w:rPr>
        <w:t>P</w:t>
      </w:r>
      <w:r w:rsidRPr="00C44B9C">
        <w:rPr>
          <w:rFonts w:cstheme="minorHAnsi"/>
          <w:sz w:val="24"/>
          <w:szCs w:val="24"/>
        </w:rPr>
        <w:t xml:space="preserve">harmacies, </w:t>
      </w:r>
      <w:r w:rsidR="00BF4E15" w:rsidRPr="00C44B9C">
        <w:rPr>
          <w:rFonts w:cstheme="minorHAnsi"/>
          <w:sz w:val="24"/>
          <w:szCs w:val="24"/>
        </w:rPr>
        <w:t>however,</w:t>
      </w:r>
      <w:r w:rsidRPr="00C44B9C">
        <w:rPr>
          <w:rFonts w:cstheme="minorHAnsi"/>
          <w:sz w:val="24"/>
          <w:szCs w:val="24"/>
        </w:rPr>
        <w:t xml:space="preserve"> take up by </w:t>
      </w:r>
      <w:r w:rsidR="0039173A">
        <w:rPr>
          <w:rFonts w:cstheme="minorHAnsi"/>
          <w:sz w:val="24"/>
          <w:szCs w:val="24"/>
        </w:rPr>
        <w:t>clients</w:t>
      </w:r>
      <w:r w:rsidRPr="00C44B9C">
        <w:rPr>
          <w:rFonts w:cstheme="minorHAnsi"/>
          <w:sz w:val="24"/>
          <w:szCs w:val="24"/>
        </w:rPr>
        <w:t xml:space="preserve"> has been low. In 2023/24 the Primary Care Facilitation Team (PCFT) developed a pilot of three GP practices administering LAIB </w:t>
      </w:r>
      <w:r w:rsidR="0039173A">
        <w:rPr>
          <w:rFonts w:cstheme="minorHAnsi"/>
          <w:sz w:val="24"/>
          <w:szCs w:val="24"/>
        </w:rPr>
        <w:t xml:space="preserve">will </w:t>
      </w:r>
      <w:r w:rsidR="00BF4E15">
        <w:rPr>
          <w:rFonts w:cstheme="minorHAnsi"/>
          <w:sz w:val="24"/>
          <w:szCs w:val="24"/>
        </w:rPr>
        <w:t xml:space="preserve">be </w:t>
      </w:r>
      <w:r w:rsidR="00BF4E15" w:rsidRPr="00C44B9C">
        <w:rPr>
          <w:rFonts w:cstheme="minorHAnsi"/>
          <w:sz w:val="24"/>
          <w:szCs w:val="24"/>
        </w:rPr>
        <w:t>implemented</w:t>
      </w:r>
      <w:r w:rsidRPr="00C44B9C">
        <w:rPr>
          <w:rFonts w:cstheme="minorHAnsi"/>
          <w:sz w:val="24"/>
          <w:szCs w:val="24"/>
        </w:rPr>
        <w:t xml:space="preserve"> in 2024-25</w:t>
      </w:r>
      <w:r w:rsidR="00BF4E15" w:rsidRPr="00C44B9C">
        <w:rPr>
          <w:rFonts w:cstheme="minorHAnsi"/>
          <w:sz w:val="24"/>
          <w:szCs w:val="24"/>
        </w:rPr>
        <w:t xml:space="preserve">. </w:t>
      </w:r>
    </w:p>
    <w:p w14:paraId="56BE447C" w14:textId="69F1AB7B" w:rsidR="002A7CD6" w:rsidRPr="00C44B9C" w:rsidRDefault="0039173A" w:rsidP="0039173A">
      <w:pPr>
        <w:ind w:left="720" w:hanging="720"/>
        <w:rPr>
          <w:rFonts w:cstheme="minorHAnsi"/>
          <w:sz w:val="24"/>
          <w:szCs w:val="24"/>
        </w:rPr>
      </w:pPr>
      <w:bookmarkStart w:id="19" w:name="_Toc106377039"/>
      <w:r>
        <w:rPr>
          <w:rFonts w:cstheme="minorHAnsi"/>
          <w:b/>
          <w:bCs/>
          <w:sz w:val="24"/>
          <w:szCs w:val="24"/>
        </w:rPr>
        <w:t>23.</w:t>
      </w:r>
      <w:r>
        <w:rPr>
          <w:rFonts w:cstheme="minorHAnsi"/>
          <w:b/>
          <w:bCs/>
          <w:sz w:val="24"/>
          <w:szCs w:val="24"/>
        </w:rPr>
        <w:tab/>
      </w:r>
      <w:r w:rsidR="002A7CD6" w:rsidRPr="00C44B9C">
        <w:rPr>
          <w:rFonts w:cstheme="minorHAnsi"/>
          <w:b/>
          <w:bCs/>
          <w:sz w:val="24"/>
          <w:szCs w:val="24"/>
        </w:rPr>
        <w:t xml:space="preserve">MAT Standard 3: All people at high risk of drug-related harm are proactively identified and offered support to commence or </w:t>
      </w:r>
      <w:bookmarkEnd w:id="19"/>
      <w:r w:rsidR="00BF4E15" w:rsidRPr="00C44B9C">
        <w:rPr>
          <w:rFonts w:cstheme="minorHAnsi"/>
          <w:b/>
          <w:bCs/>
          <w:sz w:val="24"/>
          <w:szCs w:val="24"/>
        </w:rPr>
        <w:t xml:space="preserve">continue </w:t>
      </w:r>
      <w:r w:rsidR="00BF4E15">
        <w:rPr>
          <w:rFonts w:cstheme="minorHAnsi"/>
          <w:b/>
          <w:bCs/>
          <w:sz w:val="24"/>
          <w:szCs w:val="24"/>
        </w:rPr>
        <w:t>-</w:t>
      </w:r>
      <w:r w:rsidR="002A7CD6" w:rsidRPr="00C44B9C">
        <w:rPr>
          <w:rFonts w:cstheme="minorHAnsi"/>
          <w:sz w:val="24"/>
          <w:szCs w:val="24"/>
        </w:rPr>
        <w:t xml:space="preserve"> Green</w:t>
      </w:r>
    </w:p>
    <w:p w14:paraId="5C563F95" w14:textId="0E6A22E8" w:rsidR="002A7CD6" w:rsidRPr="00C44B9C" w:rsidRDefault="002A7CD6" w:rsidP="0039173A">
      <w:pPr>
        <w:ind w:left="720"/>
        <w:rPr>
          <w:rFonts w:cstheme="minorHAnsi"/>
          <w:sz w:val="24"/>
          <w:szCs w:val="24"/>
        </w:rPr>
      </w:pPr>
      <w:r w:rsidRPr="00C44B9C">
        <w:rPr>
          <w:rFonts w:cstheme="minorHAnsi"/>
          <w:sz w:val="24"/>
          <w:szCs w:val="24"/>
        </w:rPr>
        <w:t>Edinburgh’s Services provide a network of assertive outreach. It has become increasingly efficient and responsive to people who have attended hospital emergency departments or been seen by the Scottish Ambulance Service following a non-fatal overdose or who have been identified as being at high risk for other reasons. In the last quarter of 2023/24 services attempted to contact 75% of people within a day of notification</w:t>
      </w:r>
      <w:r w:rsidR="00BF4E15" w:rsidRPr="00C44B9C">
        <w:rPr>
          <w:rFonts w:cstheme="minorHAnsi"/>
          <w:sz w:val="24"/>
          <w:szCs w:val="24"/>
        </w:rPr>
        <w:t xml:space="preserve">. </w:t>
      </w:r>
    </w:p>
    <w:p w14:paraId="73D21E9A" w14:textId="1D71F762" w:rsidR="002A7CD6" w:rsidRPr="00C44B9C" w:rsidRDefault="0039173A" w:rsidP="0039173A">
      <w:pPr>
        <w:ind w:left="720" w:hanging="720"/>
        <w:rPr>
          <w:rFonts w:cstheme="minorHAnsi"/>
          <w:b/>
          <w:bCs/>
          <w:sz w:val="24"/>
          <w:szCs w:val="24"/>
        </w:rPr>
      </w:pPr>
      <w:bookmarkStart w:id="20" w:name="_Toc106377040"/>
      <w:r>
        <w:rPr>
          <w:rFonts w:cstheme="minorHAnsi"/>
          <w:b/>
          <w:bCs/>
          <w:sz w:val="24"/>
          <w:szCs w:val="24"/>
        </w:rPr>
        <w:t>24.</w:t>
      </w:r>
      <w:r>
        <w:rPr>
          <w:rFonts w:cstheme="minorHAnsi"/>
          <w:b/>
          <w:bCs/>
          <w:sz w:val="24"/>
          <w:szCs w:val="24"/>
        </w:rPr>
        <w:tab/>
      </w:r>
      <w:r w:rsidR="002A7CD6" w:rsidRPr="00C44B9C">
        <w:rPr>
          <w:rFonts w:cstheme="minorHAnsi"/>
          <w:b/>
          <w:bCs/>
          <w:sz w:val="24"/>
          <w:szCs w:val="24"/>
        </w:rPr>
        <w:t>MAT Standard 4: All people are offered evidence-based harm reduction at the point of MAT delivery</w:t>
      </w:r>
      <w:bookmarkEnd w:id="20"/>
      <w:r>
        <w:rPr>
          <w:rFonts w:cstheme="minorHAnsi"/>
          <w:b/>
          <w:bCs/>
          <w:sz w:val="24"/>
          <w:szCs w:val="24"/>
        </w:rPr>
        <w:t xml:space="preserve"> - Green</w:t>
      </w:r>
    </w:p>
    <w:p w14:paraId="5EECF43A" w14:textId="255AF92E" w:rsidR="002A7CD6" w:rsidRPr="00C44B9C" w:rsidRDefault="002A7CD6" w:rsidP="0039173A">
      <w:pPr>
        <w:ind w:left="720"/>
        <w:rPr>
          <w:rFonts w:cstheme="minorHAnsi"/>
          <w:sz w:val="24"/>
          <w:szCs w:val="24"/>
        </w:rPr>
      </w:pPr>
      <w:r w:rsidRPr="00C44B9C">
        <w:rPr>
          <w:rFonts w:cstheme="minorHAnsi"/>
          <w:sz w:val="24"/>
          <w:szCs w:val="24"/>
        </w:rPr>
        <w:t xml:space="preserve">Service users can now access assessment of injecting risk, harm reduction advice, injecting equipment provision, wound care, take home naloxone and blood borne virus testing </w:t>
      </w:r>
      <w:r w:rsidR="0039173A">
        <w:rPr>
          <w:rFonts w:cstheme="minorHAnsi"/>
          <w:sz w:val="24"/>
          <w:szCs w:val="24"/>
        </w:rPr>
        <w:t xml:space="preserve">at locality recovery hubs and central clinics. </w:t>
      </w:r>
      <w:r w:rsidRPr="00C44B9C">
        <w:rPr>
          <w:rFonts w:cstheme="minorHAnsi"/>
          <w:sz w:val="24"/>
          <w:szCs w:val="24"/>
        </w:rPr>
        <w:t xml:space="preserve">However, not all staff that could offer these interventions have </w:t>
      </w:r>
      <w:r w:rsidR="0039173A">
        <w:rPr>
          <w:rFonts w:cstheme="minorHAnsi"/>
          <w:sz w:val="24"/>
          <w:szCs w:val="24"/>
        </w:rPr>
        <w:t>completed</w:t>
      </w:r>
      <w:r w:rsidRPr="00C44B9C">
        <w:rPr>
          <w:rFonts w:cstheme="minorHAnsi"/>
          <w:sz w:val="24"/>
          <w:szCs w:val="24"/>
        </w:rPr>
        <w:t xml:space="preserve"> the full range of training available</w:t>
      </w:r>
      <w:r w:rsidR="0039173A">
        <w:rPr>
          <w:rFonts w:cstheme="minorHAnsi"/>
          <w:sz w:val="24"/>
          <w:szCs w:val="24"/>
        </w:rPr>
        <w:t>.</w:t>
      </w:r>
      <w:r w:rsidRPr="00C44B9C">
        <w:rPr>
          <w:rFonts w:cstheme="minorHAnsi"/>
          <w:sz w:val="24"/>
          <w:szCs w:val="24"/>
        </w:rPr>
        <w:t xml:space="preserve"> In 2024/25 we will work with partners to maximise staff training and delivery.  </w:t>
      </w:r>
    </w:p>
    <w:p w14:paraId="43623FB2" w14:textId="74A6BADB" w:rsidR="002A7CD6" w:rsidRPr="00C44B9C" w:rsidRDefault="0039173A" w:rsidP="0039173A">
      <w:pPr>
        <w:ind w:left="720" w:hanging="720"/>
        <w:rPr>
          <w:rFonts w:eastAsia="Arial" w:cstheme="minorHAnsi"/>
          <w:b/>
          <w:bCs/>
          <w:sz w:val="24"/>
          <w:szCs w:val="24"/>
        </w:rPr>
      </w:pPr>
      <w:r>
        <w:rPr>
          <w:rFonts w:eastAsia="Arial" w:cstheme="minorHAnsi"/>
          <w:b/>
          <w:bCs/>
          <w:sz w:val="24"/>
          <w:szCs w:val="24"/>
        </w:rPr>
        <w:t>25.</w:t>
      </w:r>
      <w:r>
        <w:rPr>
          <w:rFonts w:eastAsia="Arial" w:cstheme="minorHAnsi"/>
          <w:b/>
          <w:bCs/>
          <w:sz w:val="24"/>
          <w:szCs w:val="24"/>
        </w:rPr>
        <w:tab/>
      </w:r>
      <w:r w:rsidR="002A7CD6" w:rsidRPr="00C44B9C">
        <w:rPr>
          <w:rFonts w:eastAsia="Arial" w:cstheme="minorHAnsi"/>
          <w:b/>
          <w:bCs/>
          <w:sz w:val="24"/>
          <w:szCs w:val="24"/>
        </w:rPr>
        <w:t>MAT</w:t>
      </w:r>
      <w:r w:rsidR="0040290C">
        <w:rPr>
          <w:rFonts w:eastAsia="Arial" w:cstheme="minorHAnsi"/>
          <w:b/>
          <w:bCs/>
          <w:sz w:val="24"/>
          <w:szCs w:val="24"/>
        </w:rPr>
        <w:t xml:space="preserve"> Standard</w:t>
      </w:r>
      <w:r w:rsidR="002A7CD6" w:rsidRPr="00C44B9C">
        <w:rPr>
          <w:rFonts w:eastAsia="Arial" w:cstheme="minorHAnsi"/>
          <w:b/>
          <w:bCs/>
          <w:sz w:val="24"/>
          <w:szCs w:val="24"/>
        </w:rPr>
        <w:t xml:space="preserve"> 5. All people will receive support to remain in treatment for as long as requested</w:t>
      </w:r>
      <w:r>
        <w:rPr>
          <w:rFonts w:eastAsia="Arial" w:cstheme="minorHAnsi"/>
          <w:b/>
          <w:bCs/>
          <w:sz w:val="24"/>
          <w:szCs w:val="24"/>
        </w:rPr>
        <w:t xml:space="preserve"> - Green</w:t>
      </w:r>
    </w:p>
    <w:p w14:paraId="2B325559" w14:textId="1F0D808B" w:rsidR="002A7CD6" w:rsidRPr="00C44B9C" w:rsidRDefault="002A7CD6" w:rsidP="0039173A">
      <w:pPr>
        <w:ind w:left="720"/>
        <w:rPr>
          <w:rFonts w:cstheme="minorHAnsi"/>
          <w:sz w:val="24"/>
          <w:szCs w:val="24"/>
        </w:rPr>
      </w:pPr>
      <w:r w:rsidRPr="00C44B9C">
        <w:rPr>
          <w:rFonts w:cstheme="minorHAnsi"/>
          <w:sz w:val="24"/>
          <w:szCs w:val="24"/>
        </w:rPr>
        <w:t xml:space="preserve">This standard requires that an additional </w:t>
      </w:r>
      <w:r w:rsidRPr="00C44B9C">
        <w:rPr>
          <w:rFonts w:cstheme="minorHAnsi"/>
          <w:color w:val="000000" w:themeColor="text1"/>
          <w:sz w:val="24"/>
          <w:szCs w:val="24"/>
        </w:rPr>
        <w:t xml:space="preserve">276 </w:t>
      </w:r>
      <w:r w:rsidRPr="00C44B9C">
        <w:rPr>
          <w:rFonts w:cstheme="minorHAnsi"/>
          <w:sz w:val="24"/>
          <w:szCs w:val="24"/>
        </w:rPr>
        <w:t xml:space="preserve">people are treated by a system of care which is already experiencing difficulties with capacity. 2022/ 2023 saw the roll out </w:t>
      </w:r>
      <w:r w:rsidRPr="00C44B9C">
        <w:rPr>
          <w:rFonts w:cstheme="minorHAnsi"/>
          <w:sz w:val="24"/>
          <w:szCs w:val="24"/>
        </w:rPr>
        <w:lastRenderedPageBreak/>
        <w:t>of the previously agreed plan of recruitment and process improvements with three key aims:</w:t>
      </w:r>
    </w:p>
    <w:p w14:paraId="45010E53" w14:textId="77777777" w:rsidR="002A7CD6" w:rsidRPr="00C44B9C" w:rsidRDefault="002A7CD6" w:rsidP="002A7CD6">
      <w:pPr>
        <w:pStyle w:val="ListParagraph"/>
        <w:numPr>
          <w:ilvl w:val="0"/>
          <w:numId w:val="16"/>
        </w:numPr>
        <w:rPr>
          <w:rFonts w:cstheme="minorHAnsi"/>
          <w:iCs/>
          <w:sz w:val="24"/>
          <w:szCs w:val="24"/>
        </w:rPr>
      </w:pPr>
      <w:r w:rsidRPr="00C44B9C">
        <w:rPr>
          <w:rFonts w:cstheme="minorHAnsi"/>
          <w:iCs/>
          <w:sz w:val="24"/>
          <w:szCs w:val="24"/>
        </w:rPr>
        <w:t>Reducing caseloads in hub services</w:t>
      </w:r>
    </w:p>
    <w:p w14:paraId="548F5B92" w14:textId="77777777" w:rsidR="002A7CD6" w:rsidRPr="00C44B9C" w:rsidRDefault="002A7CD6" w:rsidP="002A7CD6">
      <w:pPr>
        <w:pStyle w:val="ListParagraph"/>
        <w:numPr>
          <w:ilvl w:val="0"/>
          <w:numId w:val="16"/>
        </w:numPr>
        <w:rPr>
          <w:rFonts w:cstheme="minorHAnsi"/>
          <w:iCs/>
          <w:sz w:val="24"/>
          <w:szCs w:val="24"/>
        </w:rPr>
      </w:pPr>
      <w:r w:rsidRPr="00C44B9C">
        <w:rPr>
          <w:rFonts w:cstheme="minorHAnsi"/>
          <w:iCs/>
          <w:sz w:val="24"/>
          <w:szCs w:val="24"/>
        </w:rPr>
        <w:t>Developing low intensity care in community settings</w:t>
      </w:r>
    </w:p>
    <w:p w14:paraId="1AB8CC94" w14:textId="77777777" w:rsidR="002A7CD6" w:rsidRPr="00C44B9C" w:rsidRDefault="002A7CD6" w:rsidP="002A7CD6">
      <w:pPr>
        <w:pStyle w:val="ListParagraph"/>
        <w:numPr>
          <w:ilvl w:val="0"/>
          <w:numId w:val="16"/>
        </w:numPr>
        <w:rPr>
          <w:rFonts w:cstheme="minorHAnsi"/>
          <w:sz w:val="24"/>
          <w:szCs w:val="24"/>
        </w:rPr>
      </w:pPr>
      <w:r w:rsidRPr="00C44B9C">
        <w:rPr>
          <w:rFonts w:cstheme="minorHAnsi"/>
          <w:sz w:val="24"/>
          <w:szCs w:val="24"/>
        </w:rPr>
        <w:t>Maximising use of primary care</w:t>
      </w:r>
    </w:p>
    <w:p w14:paraId="3E8D09C1" w14:textId="206F45B3" w:rsidR="002A7CD6" w:rsidRPr="00C44B9C" w:rsidRDefault="002A7CD6" w:rsidP="0039173A">
      <w:pPr>
        <w:ind w:left="720"/>
        <w:rPr>
          <w:rFonts w:cstheme="minorHAnsi"/>
          <w:sz w:val="24"/>
          <w:szCs w:val="24"/>
        </w:rPr>
      </w:pPr>
      <w:r w:rsidRPr="00C44B9C">
        <w:rPr>
          <w:rFonts w:cstheme="minorHAnsi"/>
          <w:sz w:val="24"/>
          <w:szCs w:val="24"/>
        </w:rPr>
        <w:t xml:space="preserve">Although some progress has been made risks and challenges remain most particularly with the recruitment of skilled clinical staff. </w:t>
      </w:r>
    </w:p>
    <w:p w14:paraId="43BC0F99" w14:textId="36D14045" w:rsidR="002A7CD6" w:rsidRPr="00C44B9C" w:rsidRDefault="002A7CD6" w:rsidP="0040290C">
      <w:pPr>
        <w:ind w:left="720"/>
        <w:rPr>
          <w:rFonts w:eastAsia="Arial" w:cstheme="minorHAnsi"/>
          <w:b/>
          <w:bCs/>
          <w:sz w:val="24"/>
          <w:szCs w:val="24"/>
        </w:rPr>
      </w:pPr>
      <w:r w:rsidRPr="00C44B9C">
        <w:rPr>
          <w:rFonts w:cstheme="minorHAnsi"/>
          <w:sz w:val="24"/>
          <w:szCs w:val="24"/>
        </w:rPr>
        <w:t xml:space="preserve">There was no national expectation that standards 6- 10 would be </w:t>
      </w:r>
      <w:r w:rsidR="0039173A">
        <w:rPr>
          <w:rFonts w:cstheme="minorHAnsi"/>
          <w:sz w:val="24"/>
          <w:szCs w:val="24"/>
        </w:rPr>
        <w:t xml:space="preserve">fully </w:t>
      </w:r>
      <w:r w:rsidRPr="00C44B9C">
        <w:rPr>
          <w:rFonts w:cstheme="minorHAnsi"/>
          <w:sz w:val="24"/>
          <w:szCs w:val="24"/>
        </w:rPr>
        <w:t>met during 2023-24. However, these standards will be expected to be delivered in 2024-25 and achieved in criminal justice</w:t>
      </w:r>
      <w:r w:rsidR="0039173A">
        <w:rPr>
          <w:rFonts w:cstheme="minorHAnsi"/>
          <w:sz w:val="24"/>
          <w:szCs w:val="24"/>
        </w:rPr>
        <w:t xml:space="preserve"> </w:t>
      </w:r>
      <w:r w:rsidR="0039173A" w:rsidRPr="00C44B9C">
        <w:rPr>
          <w:rFonts w:cstheme="minorHAnsi"/>
          <w:sz w:val="24"/>
          <w:szCs w:val="24"/>
        </w:rPr>
        <w:t>(DTTO, Court, HMP Edinburgh and Police Custody)</w:t>
      </w:r>
      <w:r w:rsidR="0039173A">
        <w:rPr>
          <w:rFonts w:cstheme="minorHAnsi"/>
          <w:sz w:val="24"/>
          <w:szCs w:val="24"/>
        </w:rPr>
        <w:t xml:space="preserve"> </w:t>
      </w:r>
      <w:r w:rsidRPr="00C44B9C">
        <w:rPr>
          <w:rFonts w:cstheme="minorHAnsi"/>
          <w:sz w:val="24"/>
          <w:szCs w:val="24"/>
        </w:rPr>
        <w:t xml:space="preserve">as well as community settings </w:t>
      </w:r>
    </w:p>
    <w:p w14:paraId="062F5AAC" w14:textId="4402E447" w:rsidR="00F3332C" w:rsidRPr="00C44B9C" w:rsidRDefault="001829C3" w:rsidP="001829C3">
      <w:pPr>
        <w:spacing w:after="0" w:line="240" w:lineRule="auto"/>
        <w:ind w:left="720" w:hanging="720"/>
        <w:jc w:val="both"/>
        <w:rPr>
          <w:rFonts w:eastAsia="Arial" w:cstheme="minorHAnsi"/>
          <w:sz w:val="24"/>
          <w:szCs w:val="24"/>
        </w:rPr>
      </w:pPr>
      <w:r>
        <w:rPr>
          <w:rFonts w:eastAsia="Arial" w:cstheme="minorHAnsi"/>
          <w:b/>
          <w:bCs/>
          <w:sz w:val="24"/>
          <w:szCs w:val="24"/>
        </w:rPr>
        <w:t>26.</w:t>
      </w:r>
      <w:r>
        <w:rPr>
          <w:rFonts w:eastAsia="Arial" w:cstheme="minorHAnsi"/>
          <w:b/>
          <w:bCs/>
          <w:sz w:val="24"/>
          <w:szCs w:val="24"/>
        </w:rPr>
        <w:tab/>
      </w:r>
      <w:r w:rsidR="00F3332C" w:rsidRPr="00C44B9C">
        <w:rPr>
          <w:rFonts w:eastAsia="Arial" w:cstheme="minorHAnsi"/>
          <w:b/>
          <w:bCs/>
          <w:sz w:val="24"/>
          <w:szCs w:val="24"/>
        </w:rPr>
        <w:t>MAT Standard 6: The system that provides MAT is psychologically informed (tier 1); routinely delivers evidence-based low intensity psychosocial interventions (tier 2); and supports individuals to grow social networks</w:t>
      </w:r>
      <w:r w:rsidR="00EC7B8F" w:rsidRPr="00C44B9C">
        <w:rPr>
          <w:rFonts w:eastAsia="Arial" w:cstheme="minorHAnsi"/>
          <w:b/>
          <w:bCs/>
          <w:sz w:val="24"/>
          <w:szCs w:val="24"/>
        </w:rPr>
        <w:t xml:space="preserve"> </w:t>
      </w:r>
      <w:r w:rsidR="00EC7B8F" w:rsidRPr="00C44B9C">
        <w:rPr>
          <w:rFonts w:eastAsia="Arial" w:cstheme="minorHAnsi"/>
          <w:sz w:val="24"/>
          <w:szCs w:val="24"/>
        </w:rPr>
        <w:t>and</w:t>
      </w:r>
      <w:r w:rsidR="00292FF0" w:rsidRPr="00C44B9C">
        <w:rPr>
          <w:rFonts w:eastAsia="Arial" w:cstheme="minorHAnsi"/>
          <w:sz w:val="24"/>
          <w:szCs w:val="24"/>
        </w:rPr>
        <w:t xml:space="preserve"> </w:t>
      </w:r>
      <w:r w:rsidR="00F3332C" w:rsidRPr="00C44B9C">
        <w:rPr>
          <w:rFonts w:cstheme="minorHAnsi"/>
          <w:b/>
          <w:bCs/>
          <w:sz w:val="24"/>
          <w:szCs w:val="24"/>
        </w:rPr>
        <w:t xml:space="preserve">MAT </w:t>
      </w:r>
      <w:r>
        <w:rPr>
          <w:rFonts w:cstheme="minorHAnsi"/>
          <w:b/>
          <w:bCs/>
          <w:sz w:val="24"/>
          <w:szCs w:val="24"/>
        </w:rPr>
        <w:t xml:space="preserve">Standard </w:t>
      </w:r>
      <w:r w:rsidR="00F3332C" w:rsidRPr="00C44B9C">
        <w:rPr>
          <w:rFonts w:cstheme="minorHAnsi"/>
          <w:b/>
          <w:bCs/>
          <w:sz w:val="24"/>
          <w:szCs w:val="24"/>
        </w:rPr>
        <w:t>1</w:t>
      </w:r>
      <w:r>
        <w:rPr>
          <w:rFonts w:cstheme="minorHAnsi"/>
          <w:b/>
          <w:bCs/>
          <w:sz w:val="24"/>
          <w:szCs w:val="24"/>
        </w:rPr>
        <w:t>0</w:t>
      </w:r>
      <w:r w:rsidR="00F3332C" w:rsidRPr="00C44B9C">
        <w:rPr>
          <w:rFonts w:cstheme="minorHAnsi"/>
          <w:b/>
          <w:bCs/>
          <w:sz w:val="24"/>
          <w:szCs w:val="24"/>
        </w:rPr>
        <w:t xml:space="preserve"> All people receive trauma informed care</w:t>
      </w:r>
      <w:r w:rsidR="00292FF0" w:rsidRPr="00C44B9C">
        <w:rPr>
          <w:rFonts w:cstheme="minorHAnsi"/>
          <w:b/>
          <w:bCs/>
          <w:sz w:val="24"/>
          <w:szCs w:val="24"/>
        </w:rPr>
        <w:t xml:space="preserve"> </w:t>
      </w:r>
      <w:r>
        <w:rPr>
          <w:rFonts w:cstheme="minorHAnsi"/>
          <w:sz w:val="24"/>
          <w:szCs w:val="24"/>
        </w:rPr>
        <w:t>-</w:t>
      </w:r>
      <w:r w:rsidR="00F3332C" w:rsidRPr="00C44B9C">
        <w:rPr>
          <w:rFonts w:eastAsia="Arial" w:cstheme="minorHAnsi"/>
          <w:sz w:val="24"/>
          <w:szCs w:val="24"/>
        </w:rPr>
        <w:t xml:space="preserve"> </w:t>
      </w:r>
      <w:r w:rsidR="00F3332C" w:rsidRPr="001829C3">
        <w:rPr>
          <w:rFonts w:eastAsia="Arial" w:cstheme="minorHAnsi"/>
          <w:b/>
          <w:bCs/>
          <w:sz w:val="24"/>
          <w:szCs w:val="24"/>
        </w:rPr>
        <w:t>Provisional Green</w:t>
      </w:r>
    </w:p>
    <w:p w14:paraId="61B621C5" w14:textId="77777777" w:rsidR="00F3332C" w:rsidRPr="00C44B9C" w:rsidRDefault="00F3332C" w:rsidP="00F3332C">
      <w:pPr>
        <w:tabs>
          <w:tab w:val="left" w:pos="720"/>
        </w:tabs>
        <w:spacing w:after="0" w:line="240" w:lineRule="auto"/>
        <w:jc w:val="both"/>
        <w:rPr>
          <w:rFonts w:cstheme="minorHAnsi"/>
          <w:b/>
          <w:bCs/>
          <w:sz w:val="24"/>
          <w:szCs w:val="24"/>
        </w:rPr>
      </w:pPr>
    </w:p>
    <w:p w14:paraId="501CB5F3" w14:textId="08107D4F" w:rsidR="001829C3" w:rsidRPr="00C44B9C" w:rsidRDefault="001829C3" w:rsidP="001829C3">
      <w:pPr>
        <w:tabs>
          <w:tab w:val="left" w:pos="720"/>
        </w:tabs>
        <w:spacing w:after="0" w:line="240" w:lineRule="auto"/>
        <w:ind w:left="720"/>
        <w:jc w:val="both"/>
        <w:rPr>
          <w:rFonts w:eastAsia="Arial" w:cstheme="minorHAnsi"/>
          <w:sz w:val="24"/>
          <w:szCs w:val="24"/>
        </w:rPr>
      </w:pPr>
      <w:r w:rsidRPr="00C44B9C">
        <w:rPr>
          <w:rFonts w:eastAsia="Arial" w:cstheme="minorHAnsi"/>
          <w:sz w:val="24"/>
          <w:szCs w:val="24"/>
        </w:rPr>
        <w:t xml:space="preserve">NHS Clinical Psychology have led the work of developing psychological therapies in the system of care, delivering </w:t>
      </w:r>
      <w:r w:rsidR="00BF4E15" w:rsidRPr="00C44B9C">
        <w:rPr>
          <w:rFonts w:eastAsia="Arial" w:cstheme="minorHAnsi"/>
          <w:sz w:val="24"/>
          <w:szCs w:val="24"/>
        </w:rPr>
        <w:t>training,</w:t>
      </w:r>
      <w:r w:rsidRPr="00C44B9C">
        <w:rPr>
          <w:rFonts w:eastAsia="Arial" w:cstheme="minorHAnsi"/>
          <w:sz w:val="24"/>
          <w:szCs w:val="24"/>
        </w:rPr>
        <w:t xml:space="preserve"> and mentoring to staff in all sectors. </w:t>
      </w:r>
      <w:r w:rsidRPr="00C44B9C">
        <w:rPr>
          <w:rFonts w:cstheme="minorHAnsi"/>
          <w:sz w:val="24"/>
          <w:szCs w:val="24"/>
        </w:rPr>
        <w:t xml:space="preserve">Clinical Psychology developed a plan for the rollout of trauma informed practice. Within the Edinburgh Access Practice and in all </w:t>
      </w:r>
      <w:r w:rsidR="00BF4E15" w:rsidRPr="00C44B9C">
        <w:rPr>
          <w:rFonts w:cstheme="minorHAnsi"/>
          <w:sz w:val="24"/>
          <w:szCs w:val="24"/>
        </w:rPr>
        <w:t>hubs,</w:t>
      </w:r>
      <w:r w:rsidRPr="00C44B9C">
        <w:rPr>
          <w:rFonts w:cstheme="minorHAnsi"/>
          <w:sz w:val="24"/>
          <w:szCs w:val="24"/>
        </w:rPr>
        <w:t xml:space="preserve"> there are dedicated Clinical Psychology posts which support practitioners to work in a trauma informed and responsive way.</w:t>
      </w:r>
      <w:r>
        <w:rPr>
          <w:rFonts w:cstheme="minorHAnsi"/>
          <w:sz w:val="24"/>
          <w:szCs w:val="24"/>
        </w:rPr>
        <w:t xml:space="preserve"> </w:t>
      </w:r>
      <w:r w:rsidRPr="00C44B9C">
        <w:rPr>
          <w:rFonts w:eastAsia="Arial" w:cstheme="minorHAnsi"/>
          <w:sz w:val="24"/>
          <w:szCs w:val="24"/>
        </w:rPr>
        <w:t>All services take a trauma informed approach and staff are trained accordingly.</w:t>
      </w:r>
      <w:r w:rsidRPr="001829C3">
        <w:rPr>
          <w:rFonts w:eastAsia="Arial" w:cstheme="minorHAnsi"/>
          <w:sz w:val="24"/>
          <w:szCs w:val="24"/>
        </w:rPr>
        <w:t xml:space="preserve"> </w:t>
      </w:r>
      <w:r w:rsidRPr="00C44B9C">
        <w:rPr>
          <w:rFonts w:eastAsia="Arial" w:cstheme="minorHAnsi"/>
          <w:sz w:val="24"/>
          <w:szCs w:val="24"/>
        </w:rPr>
        <w:t>3</w:t>
      </w:r>
      <w:r w:rsidRPr="00C44B9C">
        <w:rPr>
          <w:rFonts w:eastAsia="Arial" w:cstheme="minorHAnsi"/>
          <w:sz w:val="24"/>
          <w:szCs w:val="24"/>
          <w:vertAlign w:val="superscript"/>
        </w:rPr>
        <w:t>rd</w:t>
      </w:r>
      <w:r w:rsidRPr="00C44B9C">
        <w:rPr>
          <w:rFonts w:eastAsia="Arial" w:cstheme="minorHAnsi"/>
          <w:sz w:val="24"/>
          <w:szCs w:val="24"/>
        </w:rPr>
        <w:t xml:space="preserve"> sector</w:t>
      </w:r>
      <w:r>
        <w:rPr>
          <w:rFonts w:eastAsia="Arial" w:cstheme="minorHAnsi"/>
          <w:sz w:val="24"/>
          <w:szCs w:val="24"/>
        </w:rPr>
        <w:t xml:space="preserve"> </w:t>
      </w:r>
      <w:r w:rsidR="00BF4E15">
        <w:rPr>
          <w:rFonts w:eastAsia="Arial" w:cstheme="minorHAnsi"/>
          <w:sz w:val="24"/>
          <w:szCs w:val="24"/>
        </w:rPr>
        <w:t xml:space="preserve">and </w:t>
      </w:r>
      <w:r w:rsidR="00BF4E15" w:rsidRPr="00C44B9C">
        <w:rPr>
          <w:rFonts w:eastAsia="Arial" w:cstheme="minorHAnsi"/>
          <w:sz w:val="24"/>
          <w:szCs w:val="24"/>
        </w:rPr>
        <w:t>NHS</w:t>
      </w:r>
      <w:r w:rsidRPr="00C44B9C">
        <w:rPr>
          <w:rFonts w:eastAsia="Arial" w:cstheme="minorHAnsi"/>
          <w:sz w:val="24"/>
          <w:szCs w:val="24"/>
        </w:rPr>
        <w:t xml:space="preserve"> services provide psychosocial interventions and support people to develop their social networks to enhance their recovery</w:t>
      </w:r>
    </w:p>
    <w:p w14:paraId="144BABD5" w14:textId="77777777" w:rsidR="00F3332C" w:rsidRPr="00C44B9C" w:rsidRDefault="00F3332C" w:rsidP="00F3332C">
      <w:pPr>
        <w:spacing w:after="0" w:line="240" w:lineRule="auto"/>
        <w:ind w:firstLine="720"/>
        <w:jc w:val="both"/>
        <w:rPr>
          <w:rFonts w:eastAsia="Arial" w:cstheme="minorHAnsi"/>
          <w:b/>
          <w:bCs/>
          <w:sz w:val="24"/>
          <w:szCs w:val="24"/>
        </w:rPr>
      </w:pPr>
    </w:p>
    <w:p w14:paraId="161ED51F" w14:textId="367A3D25" w:rsidR="00F3332C" w:rsidRPr="00C44B9C" w:rsidRDefault="001829C3" w:rsidP="001829C3">
      <w:pPr>
        <w:spacing w:after="0" w:line="240" w:lineRule="auto"/>
        <w:ind w:left="720" w:hanging="720"/>
        <w:jc w:val="both"/>
        <w:rPr>
          <w:rFonts w:eastAsia="Arial" w:cstheme="minorHAnsi"/>
          <w:b/>
          <w:bCs/>
          <w:sz w:val="24"/>
          <w:szCs w:val="24"/>
        </w:rPr>
      </w:pPr>
      <w:r>
        <w:rPr>
          <w:rFonts w:eastAsia="Arial" w:cstheme="minorHAnsi"/>
          <w:b/>
          <w:bCs/>
          <w:sz w:val="24"/>
          <w:szCs w:val="24"/>
        </w:rPr>
        <w:t>27.</w:t>
      </w:r>
      <w:r>
        <w:rPr>
          <w:rFonts w:eastAsia="Arial" w:cstheme="minorHAnsi"/>
          <w:b/>
          <w:bCs/>
          <w:sz w:val="24"/>
          <w:szCs w:val="24"/>
        </w:rPr>
        <w:tab/>
      </w:r>
      <w:r w:rsidR="00F3332C" w:rsidRPr="00C44B9C">
        <w:rPr>
          <w:rFonts w:eastAsia="Arial" w:cstheme="minorHAnsi"/>
          <w:b/>
          <w:bCs/>
          <w:sz w:val="24"/>
          <w:szCs w:val="24"/>
        </w:rPr>
        <w:t xml:space="preserve">MAT Standard 7: All people have the option of MAT shared with Primary </w:t>
      </w:r>
      <w:r w:rsidRPr="001829C3">
        <w:rPr>
          <w:rFonts w:eastAsia="Arial" w:cstheme="minorHAnsi"/>
          <w:b/>
          <w:bCs/>
          <w:sz w:val="24"/>
          <w:szCs w:val="24"/>
        </w:rPr>
        <w:t>-</w:t>
      </w:r>
      <w:r>
        <w:rPr>
          <w:rFonts w:eastAsia="Arial" w:cstheme="minorHAnsi"/>
          <w:b/>
          <w:bCs/>
          <w:sz w:val="24"/>
          <w:szCs w:val="24"/>
        </w:rPr>
        <w:t xml:space="preserve"> </w:t>
      </w:r>
      <w:r w:rsidR="00F3332C" w:rsidRPr="001829C3">
        <w:rPr>
          <w:rFonts w:eastAsia="Arial" w:cstheme="minorHAnsi"/>
          <w:b/>
          <w:bCs/>
          <w:sz w:val="24"/>
          <w:szCs w:val="24"/>
        </w:rPr>
        <w:t>Green</w:t>
      </w:r>
    </w:p>
    <w:p w14:paraId="11BFA508" w14:textId="11B1AEF4" w:rsidR="00F3332C" w:rsidRPr="00C44B9C" w:rsidRDefault="00F3332C" w:rsidP="001829C3">
      <w:pPr>
        <w:spacing w:after="0" w:line="240" w:lineRule="auto"/>
        <w:ind w:left="720"/>
        <w:jc w:val="both"/>
        <w:rPr>
          <w:rFonts w:eastAsia="Arial" w:cstheme="minorHAnsi"/>
          <w:sz w:val="24"/>
          <w:szCs w:val="24"/>
        </w:rPr>
      </w:pPr>
      <w:r w:rsidRPr="00C44B9C">
        <w:rPr>
          <w:rFonts w:eastAsia="Arial" w:cstheme="minorHAnsi"/>
          <w:sz w:val="24"/>
          <w:szCs w:val="24"/>
        </w:rPr>
        <w:t xml:space="preserve">This is especially well developed in </w:t>
      </w:r>
      <w:r w:rsidR="001829C3">
        <w:rPr>
          <w:rFonts w:eastAsia="Arial" w:cstheme="minorHAnsi"/>
          <w:sz w:val="24"/>
          <w:szCs w:val="24"/>
        </w:rPr>
        <w:t>Edinburgh</w:t>
      </w:r>
      <w:r w:rsidR="00BF4E15">
        <w:rPr>
          <w:rFonts w:eastAsia="Arial" w:cstheme="minorHAnsi"/>
          <w:sz w:val="24"/>
          <w:szCs w:val="24"/>
        </w:rPr>
        <w:t xml:space="preserve">. </w:t>
      </w:r>
      <w:r w:rsidRPr="00C44B9C">
        <w:rPr>
          <w:rFonts w:eastAsia="Arial" w:cstheme="minorHAnsi"/>
          <w:sz w:val="24"/>
          <w:szCs w:val="24"/>
        </w:rPr>
        <w:t xml:space="preserve">Additional </w:t>
      </w:r>
      <w:r w:rsidR="001B3E57" w:rsidRPr="00C44B9C">
        <w:rPr>
          <w:rFonts w:eastAsia="Arial" w:cstheme="minorHAnsi"/>
          <w:sz w:val="24"/>
          <w:szCs w:val="24"/>
        </w:rPr>
        <w:t xml:space="preserve">quality improvement </w:t>
      </w:r>
      <w:r w:rsidRPr="00C44B9C">
        <w:rPr>
          <w:rFonts w:eastAsia="Arial" w:cstheme="minorHAnsi"/>
          <w:sz w:val="24"/>
          <w:szCs w:val="24"/>
        </w:rPr>
        <w:t xml:space="preserve">capacity </w:t>
      </w:r>
      <w:r w:rsidR="00DE7FB5" w:rsidRPr="00C44B9C">
        <w:rPr>
          <w:rFonts w:eastAsia="Arial" w:cstheme="minorHAnsi"/>
          <w:sz w:val="24"/>
          <w:szCs w:val="24"/>
        </w:rPr>
        <w:t xml:space="preserve">has </w:t>
      </w:r>
      <w:r w:rsidR="001829C3">
        <w:rPr>
          <w:rFonts w:eastAsia="Arial" w:cstheme="minorHAnsi"/>
          <w:sz w:val="24"/>
          <w:szCs w:val="24"/>
        </w:rPr>
        <w:t xml:space="preserve">also </w:t>
      </w:r>
      <w:r w:rsidR="00DE7FB5" w:rsidRPr="00C44B9C">
        <w:rPr>
          <w:rFonts w:eastAsia="Arial" w:cstheme="minorHAnsi"/>
          <w:sz w:val="24"/>
          <w:szCs w:val="24"/>
        </w:rPr>
        <w:t xml:space="preserve">been </w:t>
      </w:r>
      <w:r w:rsidRPr="00C44B9C">
        <w:rPr>
          <w:rFonts w:eastAsia="Arial" w:cstheme="minorHAnsi"/>
          <w:sz w:val="24"/>
          <w:szCs w:val="24"/>
        </w:rPr>
        <w:t>established to work on maximising capacity in primary care and improving joint working between primary and secondary care.</w:t>
      </w:r>
    </w:p>
    <w:p w14:paraId="57ED11EE" w14:textId="77777777" w:rsidR="00F3332C" w:rsidRPr="00C44B9C" w:rsidRDefault="00F3332C" w:rsidP="000A262B">
      <w:pPr>
        <w:spacing w:after="0" w:line="240" w:lineRule="auto"/>
        <w:jc w:val="both"/>
        <w:rPr>
          <w:rFonts w:cstheme="minorHAnsi"/>
          <w:b/>
          <w:bCs/>
          <w:sz w:val="24"/>
          <w:szCs w:val="24"/>
        </w:rPr>
      </w:pPr>
    </w:p>
    <w:bookmarkEnd w:id="17"/>
    <w:p w14:paraId="70F31F1B" w14:textId="3B197453" w:rsidR="00F3332C" w:rsidRPr="00C44B9C" w:rsidRDefault="001829C3" w:rsidP="001829C3">
      <w:pPr>
        <w:tabs>
          <w:tab w:val="left" w:pos="0"/>
        </w:tabs>
        <w:spacing w:after="0" w:line="240" w:lineRule="auto"/>
        <w:ind w:left="720" w:hanging="720"/>
        <w:jc w:val="both"/>
        <w:rPr>
          <w:rFonts w:cstheme="minorHAnsi"/>
          <w:sz w:val="24"/>
          <w:szCs w:val="24"/>
        </w:rPr>
      </w:pPr>
      <w:r>
        <w:rPr>
          <w:rFonts w:cstheme="minorHAnsi"/>
          <w:b/>
          <w:bCs/>
          <w:sz w:val="24"/>
          <w:szCs w:val="24"/>
        </w:rPr>
        <w:t>28.</w:t>
      </w:r>
      <w:r>
        <w:rPr>
          <w:rFonts w:cstheme="minorHAnsi"/>
          <w:b/>
          <w:bCs/>
          <w:sz w:val="24"/>
          <w:szCs w:val="24"/>
        </w:rPr>
        <w:tab/>
      </w:r>
      <w:r w:rsidR="00F3332C" w:rsidRPr="00C44B9C">
        <w:rPr>
          <w:rFonts w:cstheme="minorHAnsi"/>
          <w:b/>
          <w:bCs/>
          <w:sz w:val="24"/>
          <w:szCs w:val="24"/>
        </w:rPr>
        <w:t xml:space="preserve">MAT </w:t>
      </w:r>
      <w:r>
        <w:rPr>
          <w:rFonts w:cstheme="minorHAnsi"/>
          <w:b/>
          <w:bCs/>
          <w:sz w:val="24"/>
          <w:szCs w:val="24"/>
        </w:rPr>
        <w:t xml:space="preserve">Standard </w:t>
      </w:r>
      <w:r w:rsidR="00F3332C" w:rsidRPr="00C44B9C">
        <w:rPr>
          <w:rFonts w:cstheme="minorHAnsi"/>
          <w:b/>
          <w:bCs/>
          <w:sz w:val="24"/>
          <w:szCs w:val="24"/>
        </w:rPr>
        <w:t>8</w:t>
      </w:r>
      <w:r w:rsidR="00880D73">
        <w:rPr>
          <w:rFonts w:cstheme="minorHAnsi"/>
          <w:b/>
          <w:bCs/>
          <w:sz w:val="24"/>
          <w:szCs w:val="24"/>
        </w:rPr>
        <w:t>:</w:t>
      </w:r>
      <w:r w:rsidR="00F3332C" w:rsidRPr="00C44B9C">
        <w:rPr>
          <w:rFonts w:cstheme="minorHAnsi"/>
          <w:b/>
          <w:bCs/>
          <w:sz w:val="24"/>
          <w:szCs w:val="24"/>
        </w:rPr>
        <w:t xml:space="preserve"> All people have access to advocacy and support for housing, </w:t>
      </w:r>
      <w:r w:rsidR="00BF4E15" w:rsidRPr="00C44B9C">
        <w:rPr>
          <w:rFonts w:cstheme="minorHAnsi"/>
          <w:b/>
          <w:bCs/>
          <w:sz w:val="24"/>
          <w:szCs w:val="24"/>
        </w:rPr>
        <w:t>welfare,</w:t>
      </w:r>
      <w:r w:rsidR="00A845C9" w:rsidRPr="00C44B9C">
        <w:rPr>
          <w:rFonts w:cstheme="minorHAnsi"/>
          <w:b/>
          <w:bCs/>
          <w:sz w:val="24"/>
          <w:szCs w:val="24"/>
        </w:rPr>
        <w:t xml:space="preserve"> </w:t>
      </w:r>
      <w:r w:rsidR="00F3332C" w:rsidRPr="00C44B9C">
        <w:rPr>
          <w:rFonts w:cstheme="minorHAnsi"/>
          <w:b/>
          <w:bCs/>
          <w:sz w:val="24"/>
          <w:szCs w:val="24"/>
        </w:rPr>
        <w:t>and income needs</w:t>
      </w:r>
      <w:r>
        <w:rPr>
          <w:rFonts w:cstheme="minorHAnsi"/>
          <w:b/>
          <w:bCs/>
          <w:sz w:val="24"/>
          <w:szCs w:val="24"/>
        </w:rPr>
        <w:t xml:space="preserve"> - Amber</w:t>
      </w:r>
    </w:p>
    <w:p w14:paraId="39FD53A8" w14:textId="4899039E" w:rsidR="00F3332C" w:rsidRPr="00C44B9C" w:rsidRDefault="00F3332C" w:rsidP="001829C3">
      <w:pPr>
        <w:tabs>
          <w:tab w:val="left" w:pos="720"/>
        </w:tabs>
        <w:spacing w:after="0" w:line="240" w:lineRule="auto"/>
        <w:ind w:left="720"/>
        <w:jc w:val="both"/>
        <w:rPr>
          <w:rFonts w:cstheme="minorHAnsi"/>
          <w:sz w:val="24"/>
          <w:szCs w:val="24"/>
        </w:rPr>
      </w:pPr>
      <w:r w:rsidRPr="00C44B9C">
        <w:rPr>
          <w:rFonts w:cstheme="minorHAnsi"/>
          <w:sz w:val="24"/>
          <w:szCs w:val="24"/>
        </w:rPr>
        <w:t xml:space="preserve">The contract for advocacy was re-tendered and </w:t>
      </w:r>
      <w:r w:rsidR="001829C3">
        <w:rPr>
          <w:rFonts w:cstheme="minorHAnsi"/>
          <w:sz w:val="24"/>
          <w:szCs w:val="24"/>
        </w:rPr>
        <w:t>awarded</w:t>
      </w:r>
      <w:r w:rsidRPr="00C44B9C">
        <w:rPr>
          <w:rFonts w:cstheme="minorHAnsi"/>
          <w:sz w:val="24"/>
          <w:szCs w:val="24"/>
        </w:rPr>
        <w:t xml:space="preserve"> to Advocard</w:t>
      </w:r>
      <w:r w:rsidR="001829C3">
        <w:rPr>
          <w:rFonts w:cstheme="minorHAnsi"/>
          <w:sz w:val="24"/>
          <w:szCs w:val="24"/>
        </w:rPr>
        <w:t>. D</w:t>
      </w:r>
      <w:r w:rsidRPr="00C44B9C">
        <w:rPr>
          <w:rFonts w:cstheme="minorHAnsi"/>
          <w:sz w:val="24"/>
          <w:szCs w:val="24"/>
        </w:rPr>
        <w:t>evelopment sessions were held with Hub services to promote access to advocacy.</w:t>
      </w:r>
      <w:r w:rsidR="001829C3">
        <w:rPr>
          <w:rFonts w:cstheme="minorHAnsi"/>
          <w:sz w:val="24"/>
          <w:szCs w:val="24"/>
        </w:rPr>
        <w:t xml:space="preserve"> THE EADP </w:t>
      </w:r>
    </w:p>
    <w:p w14:paraId="5C14F51F" w14:textId="77777777" w:rsidR="00F3332C" w:rsidRPr="00C44B9C" w:rsidRDefault="00F3332C" w:rsidP="00F3332C">
      <w:pPr>
        <w:tabs>
          <w:tab w:val="left" w:pos="720"/>
        </w:tabs>
        <w:spacing w:after="0" w:line="240" w:lineRule="auto"/>
        <w:jc w:val="both"/>
        <w:rPr>
          <w:rFonts w:cstheme="minorHAnsi"/>
          <w:sz w:val="24"/>
          <w:szCs w:val="24"/>
        </w:rPr>
      </w:pPr>
    </w:p>
    <w:p w14:paraId="19535A5A" w14:textId="1383167D" w:rsidR="00F3332C" w:rsidRPr="00C44B9C" w:rsidRDefault="00880D73" w:rsidP="00880D73">
      <w:pPr>
        <w:tabs>
          <w:tab w:val="left" w:pos="0"/>
        </w:tabs>
        <w:spacing w:after="0" w:line="240" w:lineRule="auto"/>
        <w:ind w:left="720" w:hanging="720"/>
        <w:jc w:val="both"/>
        <w:rPr>
          <w:rFonts w:cstheme="minorHAnsi"/>
          <w:sz w:val="24"/>
          <w:szCs w:val="24"/>
        </w:rPr>
      </w:pPr>
      <w:r>
        <w:rPr>
          <w:rFonts w:cstheme="minorHAnsi"/>
          <w:b/>
          <w:bCs/>
          <w:sz w:val="24"/>
          <w:szCs w:val="24"/>
        </w:rPr>
        <w:t>29.</w:t>
      </w:r>
      <w:r>
        <w:rPr>
          <w:rFonts w:cstheme="minorHAnsi"/>
          <w:b/>
          <w:bCs/>
          <w:sz w:val="24"/>
          <w:szCs w:val="24"/>
        </w:rPr>
        <w:tab/>
      </w:r>
      <w:r w:rsidR="00F3332C" w:rsidRPr="00C44B9C">
        <w:rPr>
          <w:rFonts w:cstheme="minorHAnsi"/>
          <w:b/>
          <w:bCs/>
          <w:sz w:val="24"/>
          <w:szCs w:val="24"/>
        </w:rPr>
        <w:t xml:space="preserve">MAT </w:t>
      </w:r>
      <w:r>
        <w:rPr>
          <w:rFonts w:cstheme="minorHAnsi"/>
          <w:b/>
          <w:bCs/>
          <w:sz w:val="24"/>
          <w:szCs w:val="24"/>
        </w:rPr>
        <w:t xml:space="preserve">Standard </w:t>
      </w:r>
      <w:r w:rsidR="00F3332C" w:rsidRPr="00C44B9C">
        <w:rPr>
          <w:rFonts w:cstheme="minorHAnsi"/>
          <w:b/>
          <w:bCs/>
          <w:sz w:val="24"/>
          <w:szCs w:val="24"/>
        </w:rPr>
        <w:t>9</w:t>
      </w:r>
      <w:r>
        <w:rPr>
          <w:rFonts w:cstheme="minorHAnsi"/>
          <w:b/>
          <w:bCs/>
          <w:sz w:val="24"/>
          <w:szCs w:val="24"/>
        </w:rPr>
        <w:t>:</w:t>
      </w:r>
      <w:r w:rsidR="00F3332C" w:rsidRPr="00C44B9C">
        <w:rPr>
          <w:rFonts w:cstheme="minorHAnsi"/>
          <w:b/>
          <w:bCs/>
          <w:sz w:val="24"/>
          <w:szCs w:val="24"/>
        </w:rPr>
        <w:t xml:space="preserve"> All people with co-occurring drug use and mental health difficulties can</w:t>
      </w:r>
      <w:r w:rsidR="00A845C9" w:rsidRPr="00C44B9C">
        <w:rPr>
          <w:rFonts w:cstheme="minorHAnsi"/>
          <w:b/>
          <w:bCs/>
          <w:sz w:val="24"/>
          <w:szCs w:val="24"/>
        </w:rPr>
        <w:t xml:space="preserve"> </w:t>
      </w:r>
      <w:r w:rsidR="00F3332C" w:rsidRPr="00C44B9C">
        <w:rPr>
          <w:rFonts w:cstheme="minorHAnsi"/>
          <w:b/>
          <w:bCs/>
          <w:sz w:val="24"/>
          <w:szCs w:val="24"/>
        </w:rPr>
        <w:t>receive mental health care at the point of MAT delivery</w:t>
      </w:r>
      <w:r>
        <w:rPr>
          <w:rFonts w:cstheme="minorHAnsi"/>
          <w:b/>
          <w:bCs/>
          <w:sz w:val="24"/>
          <w:szCs w:val="24"/>
        </w:rPr>
        <w:t xml:space="preserve"> - Amber</w:t>
      </w:r>
    </w:p>
    <w:p w14:paraId="6C7A3709" w14:textId="5294F0CF" w:rsidR="00F3332C" w:rsidRPr="00C44B9C" w:rsidRDefault="00F3332C" w:rsidP="00880D73">
      <w:pPr>
        <w:tabs>
          <w:tab w:val="left" w:pos="720"/>
        </w:tabs>
        <w:spacing w:after="0" w:line="240" w:lineRule="auto"/>
        <w:ind w:left="720"/>
        <w:jc w:val="both"/>
        <w:rPr>
          <w:rFonts w:eastAsia="Arial" w:cstheme="minorHAnsi"/>
          <w:sz w:val="24"/>
          <w:szCs w:val="24"/>
        </w:rPr>
      </w:pPr>
      <w:r w:rsidRPr="00C44B9C">
        <w:rPr>
          <w:rFonts w:eastAsia="Arial" w:cstheme="minorHAnsi"/>
          <w:sz w:val="24"/>
          <w:szCs w:val="24"/>
        </w:rPr>
        <w:t xml:space="preserve">An initial plan for improvement and integration between </w:t>
      </w:r>
      <w:r w:rsidR="00880D73">
        <w:rPr>
          <w:rFonts w:eastAsia="Arial" w:cstheme="minorHAnsi"/>
          <w:sz w:val="24"/>
          <w:szCs w:val="24"/>
        </w:rPr>
        <w:t>mental health</w:t>
      </w:r>
      <w:r w:rsidRPr="00C44B9C">
        <w:rPr>
          <w:rFonts w:eastAsia="Arial" w:cstheme="minorHAnsi"/>
          <w:sz w:val="24"/>
          <w:szCs w:val="24"/>
        </w:rPr>
        <w:t xml:space="preserve"> and substance use services was agreed and implementation </w:t>
      </w:r>
      <w:r w:rsidR="00880D73">
        <w:rPr>
          <w:rFonts w:eastAsia="Arial" w:cstheme="minorHAnsi"/>
          <w:sz w:val="24"/>
          <w:szCs w:val="24"/>
        </w:rPr>
        <w:t xml:space="preserve">planning has commenced. </w:t>
      </w:r>
    </w:p>
    <w:p w14:paraId="24858659" w14:textId="7049B808" w:rsidR="00A836CE" w:rsidRPr="00C44B9C" w:rsidRDefault="00880D73" w:rsidP="007C4084">
      <w:pPr>
        <w:pStyle w:val="Heading1"/>
        <w:rPr>
          <w:rFonts w:asciiTheme="minorHAnsi" w:hAnsiTheme="minorHAnsi" w:cstheme="minorHAnsi"/>
          <w:sz w:val="24"/>
          <w:szCs w:val="24"/>
        </w:rPr>
      </w:pPr>
      <w:bookmarkStart w:id="21" w:name="_Toc174006749"/>
      <w:r w:rsidRPr="008160B0">
        <w:rPr>
          <w:rFonts w:asciiTheme="minorHAnsi" w:hAnsiTheme="minorHAnsi" w:cstheme="minorHAnsi"/>
          <w:b/>
          <w:bCs/>
          <w:sz w:val="24"/>
          <w:szCs w:val="24"/>
        </w:rPr>
        <w:t>30</w:t>
      </w:r>
      <w:r>
        <w:rPr>
          <w:rFonts w:asciiTheme="minorHAnsi" w:hAnsiTheme="minorHAnsi" w:cstheme="minorHAnsi"/>
          <w:sz w:val="24"/>
          <w:szCs w:val="24"/>
        </w:rPr>
        <w:t>.</w:t>
      </w:r>
      <w:r>
        <w:rPr>
          <w:rFonts w:asciiTheme="minorHAnsi" w:hAnsiTheme="minorHAnsi" w:cstheme="minorHAnsi"/>
          <w:sz w:val="24"/>
          <w:szCs w:val="24"/>
        </w:rPr>
        <w:tab/>
      </w:r>
      <w:r w:rsidR="00A836CE" w:rsidRPr="00880D73">
        <w:rPr>
          <w:rFonts w:asciiTheme="minorHAnsi" w:hAnsiTheme="minorHAnsi" w:cstheme="minorHAnsi"/>
          <w:b/>
          <w:bCs/>
          <w:color w:val="4472C4" w:themeColor="accent1"/>
          <w:sz w:val="24"/>
          <w:szCs w:val="24"/>
        </w:rPr>
        <w:t>Alcohol treatment and Alcohol Health Needs assessment</w:t>
      </w:r>
      <w:bookmarkEnd w:id="21"/>
      <w:r w:rsidR="00A836CE" w:rsidRPr="00880D73">
        <w:rPr>
          <w:rFonts w:asciiTheme="minorHAnsi" w:hAnsiTheme="minorHAnsi" w:cstheme="minorHAnsi"/>
          <w:color w:val="4472C4" w:themeColor="accent1"/>
          <w:sz w:val="24"/>
          <w:szCs w:val="24"/>
        </w:rPr>
        <w:t xml:space="preserve"> </w:t>
      </w:r>
    </w:p>
    <w:p w14:paraId="317FCC7D" w14:textId="71CA1B97" w:rsidR="00A836CE" w:rsidRPr="00C44B9C" w:rsidRDefault="00A836CE" w:rsidP="00880D73">
      <w:pPr>
        <w:ind w:left="720"/>
        <w:rPr>
          <w:rFonts w:cstheme="minorHAnsi"/>
          <w:sz w:val="24"/>
          <w:szCs w:val="24"/>
        </w:rPr>
      </w:pPr>
      <w:r w:rsidRPr="00C44B9C">
        <w:rPr>
          <w:rFonts w:cstheme="minorHAnsi"/>
          <w:sz w:val="24"/>
          <w:szCs w:val="24"/>
        </w:rPr>
        <w:t xml:space="preserve">A key emerging theme of the coproduction work on the EADP strategy has been the relative lack of national resources and strategic attention on treatment of alcohol problems compared to drug use, </w:t>
      </w:r>
      <w:r w:rsidR="003706BD" w:rsidRPr="00C44B9C">
        <w:rPr>
          <w:rFonts w:cstheme="minorHAnsi"/>
          <w:sz w:val="24"/>
          <w:szCs w:val="24"/>
        </w:rPr>
        <w:t>particularly</w:t>
      </w:r>
      <w:r w:rsidRPr="00C44B9C">
        <w:rPr>
          <w:rFonts w:cstheme="minorHAnsi"/>
          <w:sz w:val="24"/>
          <w:szCs w:val="24"/>
        </w:rPr>
        <w:t xml:space="preserve"> </w:t>
      </w:r>
      <w:r w:rsidR="00880D73">
        <w:rPr>
          <w:rFonts w:cstheme="minorHAnsi"/>
          <w:sz w:val="24"/>
          <w:szCs w:val="24"/>
        </w:rPr>
        <w:t>o</w:t>
      </w:r>
      <w:r w:rsidR="001818FC" w:rsidRPr="00C44B9C">
        <w:rPr>
          <w:rFonts w:cstheme="minorHAnsi"/>
          <w:sz w:val="24"/>
          <w:szCs w:val="24"/>
        </w:rPr>
        <w:t>piate</w:t>
      </w:r>
      <w:r w:rsidRPr="00C44B9C">
        <w:rPr>
          <w:rFonts w:cstheme="minorHAnsi"/>
          <w:sz w:val="24"/>
          <w:szCs w:val="24"/>
        </w:rPr>
        <w:t xml:space="preserve"> use</w:t>
      </w:r>
      <w:r w:rsidR="00BF4E15" w:rsidRPr="00C44B9C">
        <w:rPr>
          <w:rFonts w:cstheme="minorHAnsi"/>
          <w:sz w:val="24"/>
          <w:szCs w:val="24"/>
        </w:rPr>
        <w:t xml:space="preserve">. </w:t>
      </w:r>
      <w:r w:rsidR="00880D73">
        <w:rPr>
          <w:rFonts w:cstheme="minorHAnsi"/>
          <w:sz w:val="24"/>
          <w:szCs w:val="24"/>
        </w:rPr>
        <w:t>For example, i</w:t>
      </w:r>
      <w:r w:rsidRPr="00C44B9C">
        <w:rPr>
          <w:rFonts w:cstheme="minorHAnsi"/>
          <w:sz w:val="24"/>
          <w:szCs w:val="24"/>
        </w:rPr>
        <w:t xml:space="preserve">t is not </w:t>
      </w:r>
      <w:r w:rsidRPr="00C44B9C">
        <w:rPr>
          <w:rFonts w:cstheme="minorHAnsi"/>
          <w:sz w:val="24"/>
          <w:szCs w:val="24"/>
        </w:rPr>
        <w:lastRenderedPageBreak/>
        <w:t xml:space="preserve">possible to provide comparable data on alcohol treatment to that detailed above in relation to Medication Assisted Treatment for drugs, </w:t>
      </w:r>
      <w:r w:rsidR="00880D73">
        <w:rPr>
          <w:rFonts w:cstheme="minorHAnsi"/>
          <w:sz w:val="24"/>
          <w:szCs w:val="24"/>
        </w:rPr>
        <w:t>al</w:t>
      </w:r>
      <w:r w:rsidRPr="00C44B9C">
        <w:rPr>
          <w:rFonts w:cstheme="minorHAnsi"/>
          <w:sz w:val="24"/>
          <w:szCs w:val="24"/>
        </w:rPr>
        <w:t>though some of the developments can be expected to have benefited both patient groups (</w:t>
      </w:r>
      <w:r w:rsidR="00880D73">
        <w:rPr>
          <w:rFonts w:cstheme="minorHAnsi"/>
          <w:sz w:val="24"/>
          <w:szCs w:val="24"/>
        </w:rPr>
        <w:t xml:space="preserve"> for example </w:t>
      </w:r>
      <w:r w:rsidRPr="00C44B9C">
        <w:rPr>
          <w:rFonts w:cstheme="minorHAnsi"/>
          <w:sz w:val="24"/>
          <w:szCs w:val="24"/>
        </w:rPr>
        <w:t xml:space="preserve">the work on trauma informed care and psychological therapies, or access to advocacy). </w:t>
      </w:r>
    </w:p>
    <w:p w14:paraId="5EFAB97D" w14:textId="4A6BE95A" w:rsidR="00880D73" w:rsidRDefault="00880D73" w:rsidP="00880D73">
      <w:pPr>
        <w:ind w:left="720" w:hanging="720"/>
        <w:rPr>
          <w:rFonts w:cstheme="minorHAnsi"/>
          <w:sz w:val="24"/>
          <w:szCs w:val="24"/>
        </w:rPr>
      </w:pPr>
      <w:r>
        <w:rPr>
          <w:rFonts w:cstheme="minorHAnsi"/>
          <w:sz w:val="24"/>
          <w:szCs w:val="24"/>
        </w:rPr>
        <w:t>31.</w:t>
      </w:r>
      <w:r>
        <w:rPr>
          <w:rFonts w:cstheme="minorHAnsi"/>
          <w:sz w:val="24"/>
          <w:szCs w:val="24"/>
        </w:rPr>
        <w:tab/>
      </w:r>
      <w:r w:rsidR="00A836CE" w:rsidRPr="00C44B9C">
        <w:rPr>
          <w:rFonts w:cstheme="minorHAnsi"/>
          <w:sz w:val="24"/>
          <w:szCs w:val="24"/>
        </w:rPr>
        <w:t xml:space="preserve">In 2023-24 </w:t>
      </w:r>
      <w:r w:rsidRPr="00C44B9C">
        <w:rPr>
          <w:rFonts w:cstheme="minorHAnsi"/>
          <w:sz w:val="24"/>
          <w:szCs w:val="24"/>
        </w:rPr>
        <w:t xml:space="preserve">Public Health </w:t>
      </w:r>
      <w:r w:rsidR="00A836CE" w:rsidRPr="00C44B9C">
        <w:rPr>
          <w:rFonts w:cstheme="minorHAnsi"/>
          <w:sz w:val="24"/>
          <w:szCs w:val="24"/>
        </w:rPr>
        <w:t>NHS Lothian led a health needs assessment of alcohol related har</w:t>
      </w:r>
      <w:r>
        <w:rPr>
          <w:rFonts w:cstheme="minorHAnsi"/>
          <w:sz w:val="24"/>
          <w:szCs w:val="24"/>
        </w:rPr>
        <w:t>m</w:t>
      </w:r>
      <w:r w:rsidR="00BF4E15">
        <w:rPr>
          <w:rFonts w:cstheme="minorHAnsi"/>
          <w:sz w:val="24"/>
          <w:szCs w:val="24"/>
        </w:rPr>
        <w:t xml:space="preserve">. </w:t>
      </w:r>
      <w:r>
        <w:rPr>
          <w:rFonts w:cstheme="minorHAnsi"/>
          <w:sz w:val="24"/>
          <w:szCs w:val="24"/>
        </w:rPr>
        <w:t xml:space="preserve">One of the </w:t>
      </w:r>
      <w:r w:rsidR="00BF4E15">
        <w:rPr>
          <w:rFonts w:cstheme="minorHAnsi"/>
          <w:sz w:val="24"/>
          <w:szCs w:val="24"/>
        </w:rPr>
        <w:t>findings</w:t>
      </w:r>
      <w:r>
        <w:rPr>
          <w:rFonts w:cstheme="minorHAnsi"/>
          <w:sz w:val="24"/>
          <w:szCs w:val="24"/>
        </w:rPr>
        <w:t xml:space="preserve"> was that the </w:t>
      </w:r>
      <w:r w:rsidRPr="00C44B9C">
        <w:rPr>
          <w:rFonts w:cstheme="minorHAnsi"/>
          <w:sz w:val="24"/>
          <w:szCs w:val="24"/>
        </w:rPr>
        <w:t>expected</w:t>
      </w:r>
      <w:r w:rsidR="00A836CE" w:rsidRPr="00C44B9C">
        <w:rPr>
          <w:rFonts w:cstheme="minorHAnsi"/>
          <w:sz w:val="24"/>
          <w:szCs w:val="24"/>
        </w:rPr>
        <w:t xml:space="preserve"> use of medications for detoxification and relapse prevention</w:t>
      </w:r>
      <w:r>
        <w:rPr>
          <w:rFonts w:cstheme="minorHAnsi"/>
          <w:sz w:val="24"/>
          <w:szCs w:val="24"/>
        </w:rPr>
        <w:t xml:space="preserve"> was lower than anticipated</w:t>
      </w:r>
      <w:r w:rsidR="00BF4E15">
        <w:rPr>
          <w:rFonts w:cstheme="minorHAnsi"/>
          <w:sz w:val="24"/>
          <w:szCs w:val="24"/>
        </w:rPr>
        <w:t xml:space="preserve">. </w:t>
      </w:r>
      <w:r>
        <w:rPr>
          <w:rFonts w:cstheme="minorHAnsi"/>
          <w:sz w:val="24"/>
          <w:szCs w:val="24"/>
        </w:rPr>
        <w:t xml:space="preserve">This accorded with the </w:t>
      </w:r>
      <w:r w:rsidR="00A836CE" w:rsidRPr="00C44B9C">
        <w:rPr>
          <w:rFonts w:cstheme="minorHAnsi"/>
          <w:sz w:val="24"/>
          <w:szCs w:val="24"/>
        </w:rPr>
        <w:t xml:space="preserve">Public Health Scotland data in 2023-24 </w:t>
      </w:r>
      <w:r>
        <w:rPr>
          <w:rFonts w:cstheme="minorHAnsi"/>
          <w:sz w:val="24"/>
          <w:szCs w:val="24"/>
        </w:rPr>
        <w:t xml:space="preserve">which </w:t>
      </w:r>
      <w:r w:rsidR="00BF4E15">
        <w:rPr>
          <w:rFonts w:cstheme="minorHAnsi"/>
          <w:sz w:val="24"/>
          <w:szCs w:val="24"/>
        </w:rPr>
        <w:t xml:space="preserve">identified </w:t>
      </w:r>
      <w:r w:rsidR="00BF4E15" w:rsidRPr="00C44B9C">
        <w:rPr>
          <w:rFonts w:cstheme="minorHAnsi"/>
          <w:sz w:val="24"/>
          <w:szCs w:val="24"/>
        </w:rPr>
        <w:t>a</w:t>
      </w:r>
      <w:r>
        <w:rPr>
          <w:rFonts w:cstheme="minorHAnsi"/>
          <w:sz w:val="24"/>
          <w:szCs w:val="24"/>
        </w:rPr>
        <w:t xml:space="preserve"> </w:t>
      </w:r>
      <w:r w:rsidR="00A836CE" w:rsidRPr="00C44B9C">
        <w:rPr>
          <w:rFonts w:cstheme="minorHAnsi"/>
          <w:sz w:val="24"/>
          <w:szCs w:val="24"/>
        </w:rPr>
        <w:t xml:space="preserve">national decline in people entering treatment over the last ten years despite </w:t>
      </w:r>
      <w:r w:rsidR="00BF4E15" w:rsidRPr="00C44B9C">
        <w:rPr>
          <w:rFonts w:cstheme="minorHAnsi"/>
          <w:sz w:val="24"/>
          <w:szCs w:val="24"/>
        </w:rPr>
        <w:t>elevated levels</w:t>
      </w:r>
      <w:r w:rsidR="00A836CE" w:rsidRPr="00C44B9C">
        <w:rPr>
          <w:rFonts w:cstheme="minorHAnsi"/>
          <w:sz w:val="24"/>
          <w:szCs w:val="24"/>
        </w:rPr>
        <w:t xml:space="preserve"> of alcohol specific deaths. </w:t>
      </w:r>
    </w:p>
    <w:p w14:paraId="5D175AC7" w14:textId="00FEEEB9" w:rsidR="00A836CE" w:rsidRPr="00C44B9C" w:rsidRDefault="00A836CE" w:rsidP="00880D73">
      <w:pPr>
        <w:ind w:left="720"/>
        <w:rPr>
          <w:rFonts w:cstheme="minorHAnsi"/>
          <w:sz w:val="24"/>
          <w:szCs w:val="24"/>
        </w:rPr>
      </w:pPr>
      <w:r w:rsidRPr="00C44B9C">
        <w:rPr>
          <w:rFonts w:cstheme="minorHAnsi"/>
          <w:sz w:val="24"/>
          <w:szCs w:val="24"/>
        </w:rPr>
        <w:t xml:space="preserve">The EADP </w:t>
      </w:r>
      <w:r w:rsidR="00880D73">
        <w:rPr>
          <w:rFonts w:cstheme="minorHAnsi"/>
          <w:sz w:val="24"/>
          <w:szCs w:val="24"/>
        </w:rPr>
        <w:t xml:space="preserve">has </w:t>
      </w:r>
      <w:r w:rsidRPr="00C44B9C">
        <w:rPr>
          <w:rFonts w:cstheme="minorHAnsi"/>
          <w:sz w:val="24"/>
          <w:szCs w:val="24"/>
        </w:rPr>
        <w:t xml:space="preserve">engaged with the ongoing development of the new UK Alcohol Treatment Guidance </w:t>
      </w:r>
      <w:r w:rsidR="00880D73">
        <w:rPr>
          <w:rFonts w:cstheme="minorHAnsi"/>
          <w:sz w:val="24"/>
          <w:szCs w:val="24"/>
        </w:rPr>
        <w:t xml:space="preserve">due </w:t>
      </w:r>
      <w:r w:rsidRPr="00C44B9C">
        <w:rPr>
          <w:rFonts w:cstheme="minorHAnsi"/>
          <w:sz w:val="24"/>
          <w:szCs w:val="24"/>
        </w:rPr>
        <w:t xml:space="preserve">to be published in 2024-25 </w:t>
      </w:r>
      <w:r w:rsidR="00880D73">
        <w:rPr>
          <w:rFonts w:cstheme="minorHAnsi"/>
          <w:sz w:val="24"/>
          <w:szCs w:val="24"/>
        </w:rPr>
        <w:t>following consultation</w:t>
      </w:r>
      <w:r w:rsidR="00BF4E15">
        <w:rPr>
          <w:rFonts w:cstheme="minorHAnsi"/>
          <w:sz w:val="24"/>
          <w:szCs w:val="24"/>
        </w:rPr>
        <w:t xml:space="preserve">. </w:t>
      </w:r>
      <w:r w:rsidR="00880D73">
        <w:rPr>
          <w:rFonts w:cstheme="minorHAnsi"/>
          <w:sz w:val="24"/>
          <w:szCs w:val="24"/>
        </w:rPr>
        <w:t xml:space="preserve">The guidance is likely to include </w:t>
      </w:r>
      <w:r w:rsidRPr="00C44B9C">
        <w:rPr>
          <w:rFonts w:cstheme="minorHAnsi"/>
          <w:sz w:val="24"/>
          <w:szCs w:val="24"/>
        </w:rPr>
        <w:t xml:space="preserve">advice about harm reduction for people with severe alcohol problems and Scottish government strategic planning in relation to alcohol </w:t>
      </w:r>
      <w:r w:rsidR="00880D73">
        <w:rPr>
          <w:rFonts w:cstheme="minorHAnsi"/>
          <w:sz w:val="24"/>
          <w:szCs w:val="24"/>
        </w:rPr>
        <w:t>t</w:t>
      </w:r>
      <w:r w:rsidRPr="00C44B9C">
        <w:rPr>
          <w:rFonts w:cstheme="minorHAnsi"/>
          <w:sz w:val="24"/>
          <w:szCs w:val="24"/>
        </w:rPr>
        <w:t xml:space="preserve">reatment. </w:t>
      </w:r>
    </w:p>
    <w:p w14:paraId="6CD8B037" w14:textId="3A90A955" w:rsidR="119B9A0B" w:rsidRPr="00864715" w:rsidRDefault="00880D73" w:rsidP="00864715">
      <w:pPr>
        <w:pStyle w:val="Heading1"/>
        <w:ind w:left="720" w:hanging="720"/>
        <w:rPr>
          <w:rFonts w:asciiTheme="minorHAnsi" w:eastAsia="Arial" w:hAnsiTheme="minorHAnsi" w:cstheme="minorHAnsi"/>
          <w:color w:val="auto"/>
          <w:sz w:val="24"/>
          <w:szCs w:val="24"/>
        </w:rPr>
      </w:pPr>
      <w:bookmarkStart w:id="22" w:name="_Toc174006750"/>
      <w:r w:rsidRPr="008160B0">
        <w:rPr>
          <w:rFonts w:asciiTheme="minorHAnsi" w:hAnsiTheme="minorHAnsi" w:cstheme="minorHAnsi"/>
          <w:color w:val="auto"/>
          <w:sz w:val="24"/>
          <w:szCs w:val="24"/>
        </w:rPr>
        <w:t>32</w:t>
      </w:r>
      <w:r w:rsidR="0078097C">
        <w:rPr>
          <w:rFonts w:asciiTheme="minorHAnsi" w:hAnsiTheme="minorHAnsi" w:cstheme="minorHAnsi"/>
          <w:sz w:val="24"/>
          <w:szCs w:val="24"/>
        </w:rPr>
        <w:t>.</w:t>
      </w:r>
      <w:r>
        <w:rPr>
          <w:rFonts w:asciiTheme="minorHAnsi" w:hAnsiTheme="minorHAnsi" w:cstheme="minorHAnsi"/>
          <w:sz w:val="24"/>
          <w:szCs w:val="24"/>
        </w:rPr>
        <w:tab/>
      </w:r>
      <w:r w:rsidR="5796E632" w:rsidRPr="00880D73">
        <w:rPr>
          <w:rFonts w:asciiTheme="minorHAnsi" w:hAnsiTheme="minorHAnsi" w:cstheme="minorHAnsi"/>
          <w:b/>
          <w:bCs/>
          <w:sz w:val="24"/>
          <w:szCs w:val="24"/>
        </w:rPr>
        <w:t xml:space="preserve">Take </w:t>
      </w:r>
      <w:r w:rsidR="651FCCAF" w:rsidRPr="00880D73">
        <w:rPr>
          <w:rFonts w:asciiTheme="minorHAnsi" w:hAnsiTheme="minorHAnsi" w:cstheme="minorHAnsi"/>
          <w:b/>
          <w:bCs/>
          <w:sz w:val="24"/>
          <w:szCs w:val="24"/>
        </w:rPr>
        <w:t>H</w:t>
      </w:r>
      <w:r w:rsidR="5796E632" w:rsidRPr="00880D73">
        <w:rPr>
          <w:rFonts w:asciiTheme="minorHAnsi" w:hAnsiTheme="minorHAnsi" w:cstheme="minorHAnsi"/>
          <w:b/>
          <w:bCs/>
          <w:sz w:val="24"/>
          <w:szCs w:val="24"/>
        </w:rPr>
        <w:t xml:space="preserve">ome </w:t>
      </w:r>
      <w:r w:rsidR="651FCCAF" w:rsidRPr="00880D73">
        <w:rPr>
          <w:rFonts w:asciiTheme="minorHAnsi" w:hAnsiTheme="minorHAnsi" w:cstheme="minorHAnsi"/>
          <w:b/>
          <w:bCs/>
          <w:sz w:val="24"/>
          <w:szCs w:val="24"/>
        </w:rPr>
        <w:t>N</w:t>
      </w:r>
      <w:r w:rsidR="5796E632" w:rsidRPr="00880D73">
        <w:rPr>
          <w:rFonts w:asciiTheme="minorHAnsi" w:hAnsiTheme="minorHAnsi" w:cstheme="minorHAnsi"/>
          <w:b/>
          <w:bCs/>
          <w:sz w:val="24"/>
          <w:szCs w:val="24"/>
        </w:rPr>
        <w:t>aloxone distribution</w:t>
      </w:r>
      <w:bookmarkEnd w:id="14"/>
      <w:r w:rsidR="5796E632" w:rsidRPr="00C44B9C">
        <w:rPr>
          <w:rFonts w:asciiTheme="minorHAnsi" w:hAnsiTheme="minorHAnsi" w:cstheme="minorHAnsi"/>
          <w:sz w:val="24"/>
          <w:szCs w:val="24"/>
        </w:rPr>
        <w:t xml:space="preserve"> </w:t>
      </w:r>
      <w:r w:rsidR="00864715">
        <w:rPr>
          <w:rFonts w:asciiTheme="minorHAnsi" w:hAnsiTheme="minorHAnsi" w:cstheme="minorHAnsi"/>
          <w:sz w:val="24"/>
          <w:szCs w:val="24"/>
        </w:rPr>
        <w:t xml:space="preserve">- </w:t>
      </w:r>
      <w:r w:rsidR="119B9A0B" w:rsidRPr="00864715">
        <w:rPr>
          <w:rFonts w:asciiTheme="minorHAnsi" w:eastAsia="Arial" w:hAnsiTheme="minorHAnsi" w:cstheme="minorHAnsi"/>
          <w:color w:val="auto"/>
          <w:sz w:val="24"/>
          <w:szCs w:val="24"/>
        </w:rPr>
        <w:t xml:space="preserve">Naloxone is an opioid antagonist which can temporarily reverse the effect of an opioid overdose; this provides more time for emergency services to arrive and further treatment </w:t>
      </w:r>
      <w:r w:rsidR="00C12FC9" w:rsidRPr="00864715">
        <w:rPr>
          <w:rFonts w:asciiTheme="minorHAnsi" w:eastAsia="Arial" w:hAnsiTheme="minorHAnsi" w:cstheme="minorHAnsi"/>
          <w:color w:val="auto"/>
          <w:sz w:val="24"/>
          <w:szCs w:val="24"/>
        </w:rPr>
        <w:t xml:space="preserve">to </w:t>
      </w:r>
      <w:r w:rsidR="119B9A0B" w:rsidRPr="00864715">
        <w:rPr>
          <w:rFonts w:asciiTheme="minorHAnsi" w:eastAsia="Arial" w:hAnsiTheme="minorHAnsi" w:cstheme="minorHAnsi"/>
          <w:color w:val="auto"/>
          <w:sz w:val="24"/>
          <w:szCs w:val="24"/>
        </w:rPr>
        <w:t xml:space="preserve">be given. The ADP strategic aim is </w:t>
      </w:r>
      <w:r w:rsidR="00DE7FB5" w:rsidRPr="00864715">
        <w:rPr>
          <w:rFonts w:asciiTheme="minorHAnsi" w:eastAsia="Arial" w:hAnsiTheme="minorHAnsi" w:cstheme="minorHAnsi"/>
          <w:color w:val="auto"/>
          <w:sz w:val="24"/>
          <w:szCs w:val="24"/>
        </w:rPr>
        <w:t xml:space="preserve">to get it </w:t>
      </w:r>
      <w:r w:rsidR="119B9A0B" w:rsidRPr="00864715">
        <w:rPr>
          <w:rFonts w:asciiTheme="minorHAnsi" w:eastAsia="Arial" w:hAnsiTheme="minorHAnsi" w:cstheme="minorHAnsi"/>
          <w:color w:val="auto"/>
          <w:sz w:val="24"/>
          <w:szCs w:val="24"/>
        </w:rPr>
        <w:t xml:space="preserve">to the maximum number of people </w:t>
      </w:r>
      <w:r w:rsidRPr="00864715">
        <w:rPr>
          <w:rFonts w:asciiTheme="minorHAnsi" w:eastAsia="Arial" w:hAnsiTheme="minorHAnsi" w:cstheme="minorHAnsi"/>
          <w:color w:val="auto"/>
          <w:sz w:val="24"/>
          <w:szCs w:val="24"/>
        </w:rPr>
        <w:t>who may witness an overdose</w:t>
      </w:r>
      <w:r w:rsidRPr="00864715">
        <w:rPr>
          <w:rFonts w:eastAsia="Arial" w:cstheme="minorHAnsi"/>
          <w:color w:val="auto"/>
          <w:sz w:val="24"/>
          <w:szCs w:val="24"/>
        </w:rPr>
        <w:t xml:space="preserve"> across a wide range of settings</w:t>
      </w:r>
      <w:r w:rsidR="119B9A0B" w:rsidRPr="00864715">
        <w:rPr>
          <w:rFonts w:asciiTheme="minorHAnsi" w:eastAsia="Arial" w:hAnsiTheme="minorHAnsi" w:cstheme="minorHAnsi"/>
          <w:color w:val="auto"/>
          <w:sz w:val="24"/>
          <w:szCs w:val="24"/>
        </w:rPr>
        <w:t xml:space="preserve">. </w:t>
      </w:r>
      <w:r w:rsidRPr="00864715">
        <w:rPr>
          <w:rFonts w:eastAsia="Arial" w:cstheme="minorHAnsi"/>
          <w:color w:val="auto"/>
          <w:sz w:val="24"/>
          <w:szCs w:val="24"/>
        </w:rPr>
        <w:t>This includes</w:t>
      </w:r>
      <w:r w:rsidR="119B9A0B" w:rsidRPr="00864715">
        <w:rPr>
          <w:rFonts w:asciiTheme="minorHAnsi" w:eastAsia="Arial" w:hAnsiTheme="minorHAnsi" w:cstheme="minorHAnsi"/>
          <w:color w:val="auto"/>
          <w:sz w:val="24"/>
          <w:szCs w:val="24"/>
        </w:rPr>
        <w:t xml:space="preserve"> injecting equipment provision outlets, drug services, homeless services, GP surgeries and pharmacies.</w:t>
      </w:r>
      <w:r w:rsidR="00DE7FB5" w:rsidRPr="00864715">
        <w:rPr>
          <w:rFonts w:asciiTheme="minorHAnsi" w:eastAsia="Arial" w:hAnsiTheme="minorHAnsi" w:cstheme="minorHAnsi"/>
          <w:color w:val="auto"/>
          <w:sz w:val="24"/>
          <w:szCs w:val="24"/>
        </w:rPr>
        <w:t xml:space="preserve"> </w:t>
      </w:r>
      <w:r w:rsidR="00DE7FB5" w:rsidRPr="00864715">
        <w:rPr>
          <w:rFonts w:asciiTheme="minorHAnsi" w:eastAsia="Arial" w:hAnsiTheme="minorHAnsi" w:cstheme="minorHAnsi"/>
          <w:color w:val="auto"/>
          <w:sz w:val="24"/>
          <w:szCs w:val="24"/>
          <w:shd w:val="clear" w:color="auto" w:fill="FFFFFF" w:themeFill="background1"/>
        </w:rPr>
        <w:t>Numbers of kits distributed fell slightly this year (which may be a reporting issue or reflect the high levels of distribution already achieved). There has been an increase in the number of intranasal kits distributed (which are more acceptable for many people than the traditional injected kits</w:t>
      </w:r>
      <w:r w:rsidR="00293B83">
        <w:rPr>
          <w:rFonts w:asciiTheme="minorHAnsi" w:eastAsia="Arial" w:hAnsiTheme="minorHAnsi" w:cstheme="minorHAnsi"/>
          <w:color w:val="auto"/>
          <w:sz w:val="24"/>
          <w:szCs w:val="24"/>
          <w:shd w:val="clear" w:color="auto" w:fill="FFFFFF" w:themeFill="background1"/>
        </w:rPr>
        <w:t>)</w:t>
      </w:r>
      <w:r w:rsidR="00DE7FB5" w:rsidRPr="00864715">
        <w:rPr>
          <w:rFonts w:asciiTheme="minorHAnsi" w:eastAsia="Arial" w:hAnsiTheme="minorHAnsi" w:cstheme="minorHAnsi"/>
          <w:color w:val="auto"/>
          <w:sz w:val="24"/>
          <w:szCs w:val="24"/>
          <w:shd w:val="clear" w:color="auto" w:fill="FFFFFF" w:themeFill="background1"/>
        </w:rPr>
        <w:t>.</w:t>
      </w:r>
      <w:bookmarkEnd w:id="22"/>
      <w:r w:rsidR="00DE7FB5" w:rsidRPr="00864715">
        <w:rPr>
          <w:rFonts w:asciiTheme="minorHAnsi" w:eastAsia="Arial" w:hAnsiTheme="minorHAnsi" w:cstheme="minorHAnsi"/>
          <w:color w:val="auto"/>
          <w:sz w:val="24"/>
          <w:szCs w:val="24"/>
        </w:rPr>
        <w:t xml:space="preserve"> </w:t>
      </w:r>
    </w:p>
    <w:p w14:paraId="12061D31" w14:textId="601444E7" w:rsidR="001C6BAD" w:rsidRDefault="0078097C" w:rsidP="0078097C">
      <w:pPr>
        <w:pStyle w:val="Heading1"/>
        <w:ind w:left="720" w:hanging="720"/>
        <w:rPr>
          <w:rFonts w:asciiTheme="minorHAnsi" w:eastAsia="Arial" w:hAnsiTheme="minorHAnsi" w:cstheme="minorHAnsi"/>
          <w:color w:val="auto"/>
          <w:sz w:val="24"/>
          <w:szCs w:val="24"/>
        </w:rPr>
      </w:pPr>
      <w:bookmarkStart w:id="23" w:name="_Toc174006751"/>
      <w:r w:rsidRPr="008160B0">
        <w:rPr>
          <w:rFonts w:asciiTheme="minorHAnsi" w:eastAsia="Arial" w:hAnsiTheme="minorHAnsi" w:cstheme="minorHAnsi"/>
          <w:color w:val="auto"/>
          <w:sz w:val="24"/>
          <w:szCs w:val="24"/>
        </w:rPr>
        <w:t>33</w:t>
      </w:r>
      <w:r>
        <w:rPr>
          <w:rFonts w:asciiTheme="minorHAnsi" w:eastAsia="Arial" w:hAnsiTheme="minorHAnsi" w:cstheme="minorHAnsi"/>
          <w:sz w:val="24"/>
          <w:szCs w:val="24"/>
        </w:rPr>
        <w:t>.</w:t>
      </w:r>
      <w:r>
        <w:rPr>
          <w:rFonts w:asciiTheme="minorHAnsi" w:eastAsia="Arial" w:hAnsiTheme="minorHAnsi" w:cstheme="minorHAnsi"/>
          <w:sz w:val="24"/>
          <w:szCs w:val="24"/>
        </w:rPr>
        <w:tab/>
      </w:r>
      <w:r w:rsidR="00F04697" w:rsidRPr="00864715">
        <w:rPr>
          <w:rFonts w:asciiTheme="minorHAnsi" w:eastAsia="Arial" w:hAnsiTheme="minorHAnsi" w:cstheme="minorHAnsi"/>
          <w:b/>
          <w:bCs/>
          <w:sz w:val="24"/>
          <w:szCs w:val="24"/>
        </w:rPr>
        <w:t xml:space="preserve">Edinburgh Medication </w:t>
      </w:r>
      <w:r w:rsidR="009A7BC5" w:rsidRPr="00864715">
        <w:rPr>
          <w:rFonts w:asciiTheme="minorHAnsi" w:eastAsia="Arial" w:hAnsiTheme="minorHAnsi" w:cstheme="minorHAnsi"/>
          <w:b/>
          <w:bCs/>
          <w:sz w:val="24"/>
          <w:szCs w:val="24"/>
        </w:rPr>
        <w:t>A</w:t>
      </w:r>
      <w:r w:rsidR="00F04697" w:rsidRPr="00864715">
        <w:rPr>
          <w:rFonts w:asciiTheme="minorHAnsi" w:eastAsia="Arial" w:hAnsiTheme="minorHAnsi" w:cstheme="minorHAnsi"/>
          <w:b/>
          <w:bCs/>
          <w:sz w:val="24"/>
          <w:szCs w:val="24"/>
        </w:rPr>
        <w:t xml:space="preserve">ssisted </w:t>
      </w:r>
      <w:r w:rsidR="009A7BC5" w:rsidRPr="00864715">
        <w:rPr>
          <w:rFonts w:asciiTheme="minorHAnsi" w:eastAsia="Arial" w:hAnsiTheme="minorHAnsi" w:cstheme="minorHAnsi"/>
          <w:b/>
          <w:bCs/>
          <w:sz w:val="24"/>
          <w:szCs w:val="24"/>
        </w:rPr>
        <w:t>T</w:t>
      </w:r>
      <w:r w:rsidR="00F04697" w:rsidRPr="00864715">
        <w:rPr>
          <w:rFonts w:asciiTheme="minorHAnsi" w:eastAsia="Arial" w:hAnsiTheme="minorHAnsi" w:cstheme="minorHAnsi"/>
          <w:b/>
          <w:bCs/>
          <w:sz w:val="24"/>
          <w:szCs w:val="24"/>
        </w:rPr>
        <w:t>reatment Access Clinic (EdMAC)</w:t>
      </w:r>
      <w:r w:rsidRPr="0078097C">
        <w:rPr>
          <w:rFonts w:asciiTheme="minorHAnsi" w:eastAsia="Arial" w:hAnsiTheme="minorHAnsi" w:cstheme="minorHAnsi"/>
          <w:color w:val="auto"/>
          <w:sz w:val="24"/>
          <w:szCs w:val="24"/>
        </w:rPr>
        <w:t xml:space="preserve"> </w:t>
      </w:r>
      <w:r w:rsidR="001C6BAD" w:rsidRPr="0078097C">
        <w:rPr>
          <w:rFonts w:asciiTheme="minorHAnsi" w:eastAsia="Arial" w:hAnsiTheme="minorHAnsi" w:cstheme="minorHAnsi"/>
          <w:color w:val="auto"/>
          <w:sz w:val="24"/>
          <w:szCs w:val="24"/>
        </w:rPr>
        <w:t xml:space="preserve">was developed as part of the EADP MAT </w:t>
      </w:r>
      <w:r w:rsidRPr="0078097C">
        <w:rPr>
          <w:rFonts w:asciiTheme="minorHAnsi" w:eastAsia="Arial" w:hAnsiTheme="minorHAnsi" w:cstheme="minorHAnsi"/>
          <w:color w:val="auto"/>
          <w:sz w:val="24"/>
          <w:szCs w:val="24"/>
        </w:rPr>
        <w:t>S</w:t>
      </w:r>
      <w:r w:rsidR="001C6BAD" w:rsidRPr="0078097C">
        <w:rPr>
          <w:rFonts w:asciiTheme="minorHAnsi" w:eastAsia="Arial" w:hAnsiTheme="minorHAnsi" w:cstheme="minorHAnsi"/>
          <w:color w:val="auto"/>
          <w:sz w:val="24"/>
          <w:szCs w:val="24"/>
        </w:rPr>
        <w:t>tandards pla</w:t>
      </w:r>
      <w:r w:rsidR="00350C7B" w:rsidRPr="0078097C">
        <w:rPr>
          <w:rFonts w:asciiTheme="minorHAnsi" w:eastAsia="Arial" w:hAnsiTheme="minorHAnsi" w:cstheme="minorHAnsi"/>
          <w:color w:val="auto"/>
          <w:sz w:val="24"/>
          <w:szCs w:val="24"/>
        </w:rPr>
        <w:t>n. It provides a daily drop in</w:t>
      </w:r>
      <w:r w:rsidR="0079191C" w:rsidRPr="0078097C">
        <w:rPr>
          <w:rFonts w:asciiTheme="minorHAnsi" w:eastAsia="Arial" w:hAnsiTheme="minorHAnsi" w:cstheme="minorHAnsi"/>
          <w:color w:val="auto"/>
          <w:sz w:val="24"/>
          <w:szCs w:val="24"/>
        </w:rPr>
        <w:t xml:space="preserve"> assessment for Medication</w:t>
      </w:r>
      <w:r w:rsidR="00FD0DCE" w:rsidRPr="0078097C">
        <w:rPr>
          <w:rFonts w:asciiTheme="minorHAnsi" w:eastAsia="Arial" w:hAnsiTheme="minorHAnsi" w:cstheme="minorHAnsi"/>
          <w:color w:val="auto"/>
          <w:sz w:val="24"/>
          <w:szCs w:val="24"/>
        </w:rPr>
        <w:t xml:space="preserve"> A</w:t>
      </w:r>
      <w:r w:rsidR="0079191C" w:rsidRPr="0078097C">
        <w:rPr>
          <w:rFonts w:asciiTheme="minorHAnsi" w:eastAsia="Arial" w:hAnsiTheme="minorHAnsi" w:cstheme="minorHAnsi"/>
          <w:color w:val="auto"/>
          <w:sz w:val="24"/>
          <w:szCs w:val="24"/>
        </w:rPr>
        <w:t>ssisted</w:t>
      </w:r>
      <w:r w:rsidR="00FD0DCE" w:rsidRPr="0078097C">
        <w:rPr>
          <w:rFonts w:asciiTheme="minorHAnsi" w:eastAsia="Arial" w:hAnsiTheme="minorHAnsi" w:cstheme="minorHAnsi"/>
          <w:color w:val="auto"/>
          <w:sz w:val="24"/>
          <w:szCs w:val="24"/>
        </w:rPr>
        <w:t xml:space="preserve"> T</w:t>
      </w:r>
      <w:r w:rsidR="0079191C" w:rsidRPr="0078097C">
        <w:rPr>
          <w:rFonts w:asciiTheme="minorHAnsi" w:eastAsia="Arial" w:hAnsiTheme="minorHAnsi" w:cstheme="minorHAnsi"/>
          <w:color w:val="auto"/>
          <w:sz w:val="24"/>
          <w:szCs w:val="24"/>
        </w:rPr>
        <w:t xml:space="preserve">reatment and </w:t>
      </w:r>
      <w:r w:rsidR="000F2847" w:rsidRPr="0078097C">
        <w:rPr>
          <w:rFonts w:asciiTheme="minorHAnsi" w:eastAsia="Arial" w:hAnsiTheme="minorHAnsi" w:cstheme="minorHAnsi"/>
          <w:color w:val="auto"/>
          <w:sz w:val="24"/>
          <w:szCs w:val="24"/>
        </w:rPr>
        <w:t>initiation</w:t>
      </w:r>
      <w:r w:rsidR="0079191C" w:rsidRPr="0078097C">
        <w:rPr>
          <w:rFonts w:asciiTheme="minorHAnsi" w:eastAsia="Arial" w:hAnsiTheme="minorHAnsi" w:cstheme="minorHAnsi"/>
          <w:color w:val="auto"/>
          <w:sz w:val="24"/>
          <w:szCs w:val="24"/>
        </w:rPr>
        <w:t xml:space="preserve"> where appropriate, meaning that people from all over the city are able to begin treatment (if clinically appropriate) 5 days of the week. </w:t>
      </w:r>
      <w:r w:rsidR="000F2847" w:rsidRPr="0078097C">
        <w:rPr>
          <w:rFonts w:asciiTheme="minorHAnsi" w:eastAsia="Arial" w:hAnsiTheme="minorHAnsi" w:cstheme="minorHAnsi"/>
          <w:color w:val="auto"/>
          <w:sz w:val="24"/>
          <w:szCs w:val="24"/>
        </w:rPr>
        <w:t>Throughout 2023-</w:t>
      </w:r>
      <w:r w:rsidR="0079191C" w:rsidRPr="0078097C">
        <w:rPr>
          <w:rFonts w:asciiTheme="minorHAnsi" w:eastAsia="Arial" w:hAnsiTheme="minorHAnsi" w:cstheme="minorHAnsi"/>
          <w:color w:val="auto"/>
          <w:sz w:val="24"/>
          <w:szCs w:val="24"/>
        </w:rPr>
        <w:t xml:space="preserve">24 it was fully operational and nearly fully staffed. </w:t>
      </w:r>
      <w:r w:rsidR="00D9778F" w:rsidRPr="0078097C">
        <w:rPr>
          <w:rFonts w:asciiTheme="minorHAnsi" w:eastAsia="Arial" w:hAnsiTheme="minorHAnsi" w:cstheme="minorHAnsi"/>
          <w:color w:val="auto"/>
          <w:sz w:val="24"/>
          <w:szCs w:val="24"/>
        </w:rPr>
        <w:t xml:space="preserve">It is run by a partnership of staff from EH&amp;SCP, Change Grow Live and Turning </w:t>
      </w:r>
      <w:r w:rsidRPr="0078097C">
        <w:rPr>
          <w:rFonts w:asciiTheme="minorHAnsi" w:eastAsia="Arial" w:hAnsiTheme="minorHAnsi" w:cstheme="minorHAnsi"/>
          <w:color w:val="auto"/>
          <w:sz w:val="24"/>
          <w:szCs w:val="24"/>
        </w:rPr>
        <w:t>P</w:t>
      </w:r>
      <w:r w:rsidR="00D9778F" w:rsidRPr="0078097C">
        <w:rPr>
          <w:rFonts w:asciiTheme="minorHAnsi" w:eastAsia="Arial" w:hAnsiTheme="minorHAnsi" w:cstheme="minorHAnsi"/>
          <w:color w:val="auto"/>
          <w:sz w:val="24"/>
          <w:szCs w:val="24"/>
        </w:rPr>
        <w:t xml:space="preserve">oint </w:t>
      </w:r>
      <w:r w:rsidR="00693327" w:rsidRPr="0078097C">
        <w:rPr>
          <w:rFonts w:asciiTheme="minorHAnsi" w:eastAsia="Arial" w:hAnsiTheme="minorHAnsi" w:cstheme="minorHAnsi"/>
          <w:color w:val="auto"/>
          <w:sz w:val="24"/>
          <w:szCs w:val="24"/>
        </w:rPr>
        <w:t>Scotland</w:t>
      </w:r>
      <w:r w:rsidR="00D9778F" w:rsidRPr="0078097C">
        <w:rPr>
          <w:rFonts w:asciiTheme="minorHAnsi" w:eastAsia="Arial" w:hAnsiTheme="minorHAnsi" w:cstheme="minorHAnsi"/>
          <w:color w:val="auto"/>
          <w:sz w:val="24"/>
          <w:szCs w:val="24"/>
        </w:rPr>
        <w:t>.</w:t>
      </w:r>
      <w:bookmarkEnd w:id="23"/>
      <w:r w:rsidR="00D9778F" w:rsidRPr="0078097C">
        <w:rPr>
          <w:rFonts w:asciiTheme="minorHAnsi" w:eastAsia="Arial" w:hAnsiTheme="minorHAnsi" w:cstheme="minorHAnsi"/>
          <w:color w:val="auto"/>
          <w:sz w:val="24"/>
          <w:szCs w:val="24"/>
        </w:rPr>
        <w:t xml:space="preserve"> </w:t>
      </w:r>
    </w:p>
    <w:p w14:paraId="75E10307" w14:textId="77777777" w:rsidR="00F23687" w:rsidRDefault="00F23687" w:rsidP="00F23687">
      <w:pPr>
        <w:ind w:left="720" w:hanging="720"/>
        <w:rPr>
          <w:rFonts w:cstheme="minorHAnsi"/>
          <w:sz w:val="24"/>
          <w:szCs w:val="24"/>
        </w:rPr>
      </w:pPr>
    </w:p>
    <w:p w14:paraId="6CBB1787" w14:textId="0A1BD579" w:rsidR="0099029D" w:rsidRPr="0078097C" w:rsidRDefault="00F23687" w:rsidP="00F23687">
      <w:pPr>
        <w:ind w:left="720" w:hanging="720"/>
        <w:rPr>
          <w:rFonts w:cstheme="minorHAnsi"/>
          <w:sz w:val="24"/>
          <w:szCs w:val="24"/>
        </w:rPr>
      </w:pPr>
      <w:r>
        <w:rPr>
          <w:rFonts w:cstheme="minorHAnsi"/>
          <w:sz w:val="24"/>
          <w:szCs w:val="24"/>
        </w:rPr>
        <w:t>34.</w:t>
      </w:r>
      <w:r>
        <w:rPr>
          <w:rFonts w:cstheme="minorHAnsi"/>
          <w:sz w:val="24"/>
          <w:szCs w:val="24"/>
        </w:rPr>
        <w:tab/>
      </w:r>
      <w:r w:rsidR="0099029D" w:rsidRPr="0078097C">
        <w:rPr>
          <w:rFonts w:cstheme="minorHAnsi"/>
          <w:sz w:val="24"/>
          <w:szCs w:val="24"/>
        </w:rPr>
        <w:t xml:space="preserve">Between February 2023 </w:t>
      </w:r>
      <w:r>
        <w:rPr>
          <w:rFonts w:cstheme="minorHAnsi"/>
          <w:sz w:val="24"/>
          <w:szCs w:val="24"/>
        </w:rPr>
        <w:t>(</w:t>
      </w:r>
      <w:r w:rsidR="0099029D" w:rsidRPr="0078097C">
        <w:rPr>
          <w:rFonts w:cstheme="minorHAnsi"/>
          <w:sz w:val="24"/>
          <w:szCs w:val="24"/>
        </w:rPr>
        <w:t>when the clinic began to deliver the full 5 day a week drop in) and mid</w:t>
      </w:r>
      <w:r w:rsidR="009A7BC5" w:rsidRPr="0078097C">
        <w:rPr>
          <w:rFonts w:cstheme="minorHAnsi"/>
          <w:sz w:val="24"/>
          <w:szCs w:val="24"/>
        </w:rPr>
        <w:t>-</w:t>
      </w:r>
      <w:r w:rsidR="0099029D" w:rsidRPr="0078097C">
        <w:rPr>
          <w:rFonts w:cstheme="minorHAnsi"/>
          <w:sz w:val="24"/>
          <w:szCs w:val="24"/>
        </w:rPr>
        <w:t xml:space="preserve">May 2024, there were 204 referrals/ presentations by 195 unique individuals. </w:t>
      </w:r>
      <w:r w:rsidR="001B3E57" w:rsidRPr="0078097C">
        <w:rPr>
          <w:rFonts w:cstheme="minorHAnsi"/>
          <w:sz w:val="24"/>
          <w:szCs w:val="24"/>
        </w:rPr>
        <w:t xml:space="preserve">All were offered assessment to start treatment on the day they </w:t>
      </w:r>
      <w:r w:rsidR="004E26C3" w:rsidRPr="0078097C">
        <w:rPr>
          <w:rFonts w:cstheme="minorHAnsi"/>
          <w:sz w:val="24"/>
          <w:szCs w:val="24"/>
        </w:rPr>
        <w:t>presented,</w:t>
      </w:r>
      <w:r w:rsidR="001B3E57" w:rsidRPr="0078097C">
        <w:rPr>
          <w:rFonts w:cstheme="minorHAnsi"/>
          <w:sz w:val="24"/>
          <w:szCs w:val="24"/>
        </w:rPr>
        <w:t xml:space="preserve"> and the</w:t>
      </w:r>
      <w:r w:rsidR="00601CF5" w:rsidRPr="0078097C">
        <w:rPr>
          <w:rFonts w:cstheme="minorHAnsi"/>
          <w:sz w:val="24"/>
          <w:szCs w:val="24"/>
        </w:rPr>
        <w:t xml:space="preserve"> majority did. People are successfully transferring to mainstream services following initial treatment at EdMAC</w:t>
      </w:r>
      <w:r w:rsidR="00BF4E15" w:rsidRPr="0078097C">
        <w:rPr>
          <w:rFonts w:cstheme="minorHAnsi"/>
          <w:sz w:val="24"/>
          <w:szCs w:val="24"/>
        </w:rPr>
        <w:t xml:space="preserve">. </w:t>
      </w:r>
    </w:p>
    <w:p w14:paraId="09E24C14" w14:textId="592826C6" w:rsidR="00F23687" w:rsidRDefault="00F23687" w:rsidP="00F23687">
      <w:pPr>
        <w:ind w:left="720" w:hanging="720"/>
        <w:rPr>
          <w:rFonts w:cstheme="minorHAnsi"/>
          <w:sz w:val="24"/>
          <w:szCs w:val="24"/>
        </w:rPr>
      </w:pPr>
      <w:r>
        <w:rPr>
          <w:rFonts w:cstheme="minorHAnsi"/>
          <w:sz w:val="24"/>
          <w:szCs w:val="24"/>
        </w:rPr>
        <w:lastRenderedPageBreak/>
        <w:t>35.</w:t>
      </w:r>
      <w:r>
        <w:rPr>
          <w:rFonts w:cstheme="minorHAnsi"/>
          <w:sz w:val="24"/>
          <w:szCs w:val="24"/>
        </w:rPr>
        <w:tab/>
      </w:r>
      <w:r w:rsidR="001B3E57" w:rsidRPr="00C44B9C">
        <w:rPr>
          <w:rFonts w:cstheme="minorHAnsi"/>
          <w:sz w:val="24"/>
          <w:szCs w:val="24"/>
        </w:rPr>
        <w:t xml:space="preserve">By </w:t>
      </w:r>
      <w:r w:rsidR="0099029D" w:rsidRPr="00C44B9C">
        <w:rPr>
          <w:rFonts w:cstheme="minorHAnsi"/>
          <w:sz w:val="24"/>
          <w:szCs w:val="24"/>
        </w:rPr>
        <w:t xml:space="preserve">Jan-April 2024 there </w:t>
      </w:r>
      <w:r w:rsidR="001B3E57" w:rsidRPr="00C44B9C">
        <w:rPr>
          <w:rFonts w:cstheme="minorHAnsi"/>
          <w:sz w:val="24"/>
          <w:szCs w:val="24"/>
        </w:rPr>
        <w:t xml:space="preserve">were </w:t>
      </w:r>
      <w:r w:rsidR="0099029D" w:rsidRPr="00C44B9C">
        <w:rPr>
          <w:rFonts w:cstheme="minorHAnsi"/>
          <w:sz w:val="24"/>
          <w:szCs w:val="24"/>
        </w:rPr>
        <w:t>an average of 15-20 unique presentations per month. Almost all of these were for people who were not recently in treatment, indicating that it is successfully attracting new people in need</w:t>
      </w:r>
      <w:r w:rsidR="00BF4E15">
        <w:rPr>
          <w:rFonts w:cstheme="minorHAnsi"/>
          <w:sz w:val="24"/>
          <w:szCs w:val="24"/>
        </w:rPr>
        <w:t xml:space="preserve">. </w:t>
      </w:r>
      <w:r>
        <w:rPr>
          <w:rFonts w:cstheme="minorHAnsi"/>
          <w:sz w:val="24"/>
          <w:szCs w:val="24"/>
        </w:rPr>
        <w:t>M</w:t>
      </w:r>
      <w:r w:rsidR="0099029D" w:rsidRPr="00C44B9C">
        <w:rPr>
          <w:rFonts w:cstheme="minorHAnsi"/>
          <w:sz w:val="24"/>
          <w:szCs w:val="24"/>
        </w:rPr>
        <w:t xml:space="preserve">ost people who disengage from secondary care are successfully brought back into treatment – EdMAC is offering new routes to </w:t>
      </w:r>
      <w:r w:rsidR="009A7BC5" w:rsidRPr="00C44B9C">
        <w:rPr>
          <w:rFonts w:cstheme="minorHAnsi"/>
          <w:sz w:val="24"/>
          <w:szCs w:val="24"/>
        </w:rPr>
        <w:t>treatment</w:t>
      </w:r>
      <w:r w:rsidR="0099029D" w:rsidRPr="00C44B9C">
        <w:rPr>
          <w:rFonts w:cstheme="minorHAnsi"/>
          <w:sz w:val="24"/>
          <w:szCs w:val="24"/>
        </w:rPr>
        <w:t xml:space="preserve"> as </w:t>
      </w:r>
      <w:r>
        <w:rPr>
          <w:rFonts w:cstheme="minorHAnsi"/>
          <w:sz w:val="24"/>
          <w:szCs w:val="24"/>
        </w:rPr>
        <w:t>anticipated</w:t>
      </w:r>
      <w:r w:rsidR="00BF4E15">
        <w:rPr>
          <w:rFonts w:cstheme="minorHAnsi"/>
          <w:sz w:val="24"/>
          <w:szCs w:val="24"/>
        </w:rPr>
        <w:t xml:space="preserve">. </w:t>
      </w:r>
      <w:r w:rsidR="0099029D" w:rsidRPr="00C44B9C">
        <w:rPr>
          <w:rFonts w:cstheme="minorHAnsi"/>
          <w:sz w:val="24"/>
          <w:szCs w:val="24"/>
        </w:rPr>
        <w:t>Ed</w:t>
      </w:r>
      <w:r w:rsidR="00C22E9A" w:rsidRPr="00C44B9C">
        <w:rPr>
          <w:rFonts w:cstheme="minorHAnsi"/>
          <w:sz w:val="24"/>
          <w:szCs w:val="24"/>
        </w:rPr>
        <w:t>M</w:t>
      </w:r>
      <w:r w:rsidR="009A7BC5" w:rsidRPr="00C44B9C">
        <w:rPr>
          <w:rFonts w:cstheme="minorHAnsi"/>
          <w:sz w:val="24"/>
          <w:szCs w:val="24"/>
        </w:rPr>
        <w:t>AC</w:t>
      </w:r>
      <w:r w:rsidR="0099029D" w:rsidRPr="00C44B9C">
        <w:rPr>
          <w:rFonts w:cstheme="minorHAnsi"/>
          <w:sz w:val="24"/>
          <w:szCs w:val="24"/>
        </w:rPr>
        <w:t xml:space="preserve"> now receives 47% of the presentations of people seeking ORT</w:t>
      </w:r>
      <w:r w:rsidR="00D9778F" w:rsidRPr="00C44B9C">
        <w:rPr>
          <w:rFonts w:cstheme="minorHAnsi"/>
          <w:sz w:val="24"/>
          <w:szCs w:val="24"/>
        </w:rPr>
        <w:t xml:space="preserve"> (with the </w:t>
      </w:r>
      <w:r w:rsidR="00C22E9A" w:rsidRPr="00C44B9C">
        <w:rPr>
          <w:rFonts w:cstheme="minorHAnsi"/>
          <w:sz w:val="24"/>
          <w:szCs w:val="24"/>
        </w:rPr>
        <w:t>majority</w:t>
      </w:r>
      <w:r w:rsidR="00D9778F" w:rsidRPr="00C44B9C">
        <w:rPr>
          <w:rFonts w:cstheme="minorHAnsi"/>
          <w:sz w:val="24"/>
          <w:szCs w:val="24"/>
        </w:rPr>
        <w:t xml:space="preserve"> of the remainder using the Edinburgh Access Place which offers a similar access to people who are not registered with a local GP)</w:t>
      </w:r>
      <w:r w:rsidR="0099029D" w:rsidRPr="00C44B9C">
        <w:rPr>
          <w:rFonts w:cstheme="minorHAnsi"/>
          <w:sz w:val="24"/>
          <w:szCs w:val="24"/>
        </w:rPr>
        <w:t xml:space="preserve">. The presentations were from all areas of the city. Gender and age of those being treated are in line with the </w:t>
      </w:r>
      <w:r w:rsidR="00693327" w:rsidRPr="00C44B9C">
        <w:rPr>
          <w:rFonts w:cstheme="minorHAnsi"/>
          <w:sz w:val="24"/>
          <w:szCs w:val="24"/>
        </w:rPr>
        <w:t>information</w:t>
      </w:r>
      <w:r w:rsidR="0099029D" w:rsidRPr="00C44B9C">
        <w:rPr>
          <w:rFonts w:cstheme="minorHAnsi"/>
          <w:sz w:val="24"/>
          <w:szCs w:val="24"/>
        </w:rPr>
        <w:t xml:space="preserve"> on the known population in need </w:t>
      </w:r>
    </w:p>
    <w:p w14:paraId="7E9AF553" w14:textId="77777777" w:rsidR="00F23687" w:rsidRPr="00F23687" w:rsidRDefault="0099029D" w:rsidP="00F23687">
      <w:pPr>
        <w:pStyle w:val="ListParagraph"/>
        <w:numPr>
          <w:ilvl w:val="0"/>
          <w:numId w:val="22"/>
        </w:numPr>
        <w:rPr>
          <w:rFonts w:cstheme="minorHAnsi"/>
          <w:sz w:val="24"/>
          <w:szCs w:val="24"/>
        </w:rPr>
      </w:pPr>
      <w:r w:rsidRPr="00F23687">
        <w:rPr>
          <w:rFonts w:cstheme="minorHAnsi"/>
          <w:sz w:val="24"/>
          <w:szCs w:val="24"/>
        </w:rPr>
        <w:t>64% male</w:t>
      </w:r>
    </w:p>
    <w:p w14:paraId="76BD24BE" w14:textId="513775B3" w:rsidR="00F23687" w:rsidRPr="00F23687" w:rsidRDefault="0099029D" w:rsidP="00F23687">
      <w:pPr>
        <w:pStyle w:val="ListParagraph"/>
        <w:numPr>
          <w:ilvl w:val="0"/>
          <w:numId w:val="22"/>
        </w:numPr>
        <w:rPr>
          <w:rFonts w:cstheme="minorHAnsi"/>
          <w:sz w:val="24"/>
          <w:szCs w:val="24"/>
        </w:rPr>
      </w:pPr>
      <w:r w:rsidRPr="00F23687">
        <w:rPr>
          <w:rFonts w:cstheme="minorHAnsi"/>
          <w:sz w:val="24"/>
          <w:szCs w:val="24"/>
        </w:rPr>
        <w:t xml:space="preserve">36% female </w:t>
      </w:r>
    </w:p>
    <w:p w14:paraId="608286A9" w14:textId="57AB246D" w:rsidR="0099029D" w:rsidRPr="00F23687" w:rsidRDefault="0099029D" w:rsidP="00F23687">
      <w:pPr>
        <w:pStyle w:val="ListParagraph"/>
        <w:numPr>
          <w:ilvl w:val="0"/>
          <w:numId w:val="22"/>
        </w:numPr>
        <w:rPr>
          <w:rFonts w:cstheme="minorHAnsi"/>
          <w:sz w:val="24"/>
          <w:szCs w:val="24"/>
        </w:rPr>
      </w:pPr>
      <w:r w:rsidRPr="00F23687">
        <w:rPr>
          <w:rFonts w:cstheme="minorHAnsi"/>
          <w:sz w:val="24"/>
          <w:szCs w:val="24"/>
        </w:rPr>
        <w:t>76% aged between 35 and 54</w:t>
      </w:r>
    </w:p>
    <w:p w14:paraId="23125A54" w14:textId="4A91FFD9" w:rsidR="000F2847" w:rsidRPr="00C44B9C" w:rsidRDefault="00F23687" w:rsidP="00F23687">
      <w:pPr>
        <w:ind w:left="720" w:hanging="720"/>
        <w:rPr>
          <w:rFonts w:cstheme="minorHAnsi"/>
          <w:sz w:val="24"/>
          <w:szCs w:val="24"/>
        </w:rPr>
      </w:pPr>
      <w:r>
        <w:rPr>
          <w:rFonts w:cstheme="minorHAnsi"/>
          <w:sz w:val="24"/>
          <w:szCs w:val="24"/>
        </w:rPr>
        <w:t>36.</w:t>
      </w:r>
      <w:r>
        <w:rPr>
          <w:rFonts w:cstheme="minorHAnsi"/>
          <w:sz w:val="24"/>
          <w:szCs w:val="24"/>
        </w:rPr>
        <w:tab/>
      </w:r>
      <w:r w:rsidR="00601CF5" w:rsidRPr="00C44B9C">
        <w:rPr>
          <w:rFonts w:cstheme="minorHAnsi"/>
          <w:sz w:val="24"/>
          <w:szCs w:val="24"/>
        </w:rPr>
        <w:t xml:space="preserve">An </w:t>
      </w:r>
      <w:r w:rsidR="00693327" w:rsidRPr="00C44B9C">
        <w:rPr>
          <w:rFonts w:cstheme="minorHAnsi"/>
          <w:sz w:val="24"/>
          <w:szCs w:val="24"/>
        </w:rPr>
        <w:t>independent</w:t>
      </w:r>
      <w:r w:rsidR="00601CF5" w:rsidRPr="00C44B9C">
        <w:rPr>
          <w:rFonts w:cstheme="minorHAnsi"/>
          <w:sz w:val="24"/>
          <w:szCs w:val="24"/>
        </w:rPr>
        <w:t xml:space="preserve"> evaluation of the service has been commissioned</w:t>
      </w:r>
      <w:r w:rsidR="00BF4E15">
        <w:rPr>
          <w:rFonts w:cstheme="minorHAnsi"/>
          <w:sz w:val="24"/>
          <w:szCs w:val="24"/>
        </w:rPr>
        <w:t xml:space="preserve">. </w:t>
      </w:r>
      <w:r>
        <w:rPr>
          <w:rFonts w:cstheme="minorHAnsi"/>
          <w:sz w:val="24"/>
          <w:szCs w:val="24"/>
        </w:rPr>
        <w:t xml:space="preserve">Early qualitative data drawn from 7 </w:t>
      </w:r>
      <w:r w:rsidR="00601CF5" w:rsidRPr="00C44B9C">
        <w:rPr>
          <w:rFonts w:cstheme="minorHAnsi"/>
          <w:sz w:val="24"/>
          <w:szCs w:val="24"/>
        </w:rPr>
        <w:t xml:space="preserve">interviews undertaken as part of the MAT standards </w:t>
      </w:r>
      <w:r w:rsidRPr="00C44B9C">
        <w:rPr>
          <w:rFonts w:cstheme="minorHAnsi"/>
          <w:sz w:val="24"/>
          <w:szCs w:val="24"/>
        </w:rPr>
        <w:t>evaluatio</w:t>
      </w:r>
      <w:r>
        <w:rPr>
          <w:rFonts w:cstheme="minorHAnsi"/>
          <w:sz w:val="24"/>
          <w:szCs w:val="24"/>
        </w:rPr>
        <w:t xml:space="preserve">n </w:t>
      </w:r>
      <w:r w:rsidRPr="00C44B9C">
        <w:rPr>
          <w:rFonts w:cstheme="minorHAnsi"/>
          <w:sz w:val="24"/>
          <w:szCs w:val="24"/>
        </w:rPr>
        <w:t>indicate</w:t>
      </w:r>
      <w:r w:rsidR="00601CF5" w:rsidRPr="00C44B9C">
        <w:rPr>
          <w:rFonts w:cstheme="minorHAnsi"/>
          <w:sz w:val="24"/>
          <w:szCs w:val="24"/>
        </w:rPr>
        <w:t xml:space="preserve"> that </w:t>
      </w:r>
      <w:r>
        <w:rPr>
          <w:rFonts w:cstheme="minorHAnsi"/>
          <w:sz w:val="24"/>
          <w:szCs w:val="24"/>
        </w:rPr>
        <w:t xml:space="preserve">users </w:t>
      </w:r>
      <w:r w:rsidR="000F2847" w:rsidRPr="00C44B9C">
        <w:rPr>
          <w:rFonts w:cstheme="minorHAnsi"/>
          <w:sz w:val="24"/>
          <w:szCs w:val="24"/>
        </w:rPr>
        <w:t xml:space="preserve">of the </w:t>
      </w:r>
      <w:r w:rsidR="00D9778F" w:rsidRPr="00C44B9C">
        <w:rPr>
          <w:rFonts w:cstheme="minorHAnsi"/>
          <w:sz w:val="24"/>
          <w:szCs w:val="24"/>
        </w:rPr>
        <w:t xml:space="preserve">service </w:t>
      </w:r>
      <w:r w:rsidR="00601CF5" w:rsidRPr="00C44B9C">
        <w:rPr>
          <w:rFonts w:cstheme="minorHAnsi"/>
          <w:sz w:val="24"/>
          <w:szCs w:val="24"/>
        </w:rPr>
        <w:t xml:space="preserve">are </w:t>
      </w:r>
      <w:r w:rsidR="00D9778F" w:rsidRPr="00C44B9C">
        <w:rPr>
          <w:rFonts w:cstheme="minorHAnsi"/>
          <w:sz w:val="24"/>
          <w:szCs w:val="24"/>
        </w:rPr>
        <w:t xml:space="preserve">highly appreciative of the rapid access and </w:t>
      </w:r>
      <w:r w:rsidR="00601CF5" w:rsidRPr="00C44B9C">
        <w:rPr>
          <w:rFonts w:cstheme="minorHAnsi"/>
          <w:sz w:val="24"/>
          <w:szCs w:val="24"/>
        </w:rPr>
        <w:t xml:space="preserve">comprehensive service being provided. </w:t>
      </w:r>
    </w:p>
    <w:p w14:paraId="0D7E1CE1" w14:textId="330327BD" w:rsidR="006856A6" w:rsidRDefault="00F23687" w:rsidP="00864715">
      <w:pPr>
        <w:pStyle w:val="Heading1"/>
        <w:ind w:left="720" w:hanging="720"/>
        <w:rPr>
          <w:rFonts w:asciiTheme="minorHAnsi" w:eastAsia="Arial" w:hAnsiTheme="minorHAnsi" w:cstheme="minorHAnsi"/>
          <w:color w:val="000000" w:themeColor="text1"/>
          <w:sz w:val="24"/>
          <w:szCs w:val="24"/>
        </w:rPr>
      </w:pPr>
      <w:bookmarkStart w:id="24" w:name="_Toc174006752"/>
      <w:r>
        <w:rPr>
          <w:rFonts w:asciiTheme="minorHAnsi" w:hAnsiTheme="minorHAnsi" w:cstheme="minorHAnsi"/>
          <w:b/>
          <w:bCs/>
          <w:sz w:val="24"/>
          <w:szCs w:val="24"/>
        </w:rPr>
        <w:t>37.</w:t>
      </w:r>
      <w:r>
        <w:rPr>
          <w:rFonts w:asciiTheme="minorHAnsi" w:hAnsiTheme="minorHAnsi" w:cstheme="minorHAnsi"/>
          <w:b/>
          <w:bCs/>
          <w:sz w:val="24"/>
          <w:szCs w:val="24"/>
        </w:rPr>
        <w:tab/>
      </w:r>
      <w:r w:rsidR="132D76E0" w:rsidRPr="00F23687">
        <w:rPr>
          <w:rFonts w:asciiTheme="minorHAnsi" w:hAnsiTheme="minorHAnsi" w:cstheme="minorHAnsi"/>
          <w:b/>
          <w:bCs/>
          <w:sz w:val="24"/>
          <w:szCs w:val="24"/>
        </w:rPr>
        <w:t>Assessing the Feasibility of an Edinburgh Drug Consumption Room and of an Edinburgh Drug Checking Service</w:t>
      </w:r>
      <w:r w:rsidR="00864715">
        <w:rPr>
          <w:rFonts w:asciiTheme="minorHAnsi" w:hAnsiTheme="minorHAnsi" w:cstheme="minorHAnsi"/>
          <w:b/>
          <w:bCs/>
          <w:sz w:val="24"/>
          <w:szCs w:val="24"/>
        </w:rPr>
        <w:t xml:space="preserve"> - </w:t>
      </w:r>
      <w:r w:rsidR="3CF7D048" w:rsidRPr="00C44B9C">
        <w:rPr>
          <w:rFonts w:asciiTheme="minorHAnsi" w:eastAsia="Arial" w:hAnsiTheme="minorHAnsi" w:cstheme="minorHAnsi"/>
          <w:color w:val="000000" w:themeColor="text1"/>
          <w:sz w:val="24"/>
          <w:szCs w:val="24"/>
        </w:rPr>
        <w:t>At its 20th June</w:t>
      </w:r>
      <w:r w:rsidR="00AD06D1" w:rsidRPr="00C44B9C">
        <w:rPr>
          <w:rFonts w:asciiTheme="minorHAnsi" w:eastAsia="Arial" w:hAnsiTheme="minorHAnsi" w:cstheme="minorHAnsi"/>
          <w:color w:val="000000" w:themeColor="text1"/>
          <w:sz w:val="24"/>
          <w:szCs w:val="24"/>
        </w:rPr>
        <w:t xml:space="preserve"> 2022</w:t>
      </w:r>
      <w:r w:rsidR="3CF7D048" w:rsidRPr="00C44B9C">
        <w:rPr>
          <w:rFonts w:asciiTheme="minorHAnsi" w:eastAsia="Arial" w:hAnsiTheme="minorHAnsi" w:cstheme="minorHAnsi"/>
          <w:color w:val="000000" w:themeColor="text1"/>
          <w:sz w:val="24"/>
          <w:szCs w:val="24"/>
        </w:rPr>
        <w:t xml:space="preserve"> meeting, the City of Edinburgh Council debated the prevention of Drug Deaths and </w:t>
      </w:r>
      <w:r>
        <w:rPr>
          <w:rFonts w:eastAsia="Arial" w:cstheme="minorHAnsi"/>
          <w:color w:val="000000" w:themeColor="text1"/>
          <w:sz w:val="24"/>
          <w:szCs w:val="24"/>
        </w:rPr>
        <w:t xml:space="preserve">called </w:t>
      </w:r>
      <w:r w:rsidRPr="00F23687">
        <w:rPr>
          <w:rFonts w:eastAsia="Arial" w:cstheme="minorHAnsi"/>
          <w:color w:val="000000" w:themeColor="text1"/>
          <w:sz w:val="24"/>
          <w:szCs w:val="24"/>
        </w:rPr>
        <w:t xml:space="preserve">on </w:t>
      </w:r>
      <w:r w:rsidR="3CF7D048" w:rsidRPr="00F23687">
        <w:rPr>
          <w:rFonts w:asciiTheme="minorHAnsi" w:eastAsia="Arial" w:hAnsiTheme="minorHAnsi" w:cstheme="minorHAnsi"/>
          <w:color w:val="000000" w:themeColor="text1"/>
          <w:sz w:val="24"/>
          <w:szCs w:val="24"/>
        </w:rPr>
        <w:t xml:space="preserve">the Council to work with partners in health and criminal justice to provide a </w:t>
      </w:r>
      <w:r w:rsidRPr="00F23687">
        <w:rPr>
          <w:rFonts w:eastAsia="Arial" w:cstheme="minorHAnsi"/>
          <w:color w:val="000000" w:themeColor="text1"/>
          <w:sz w:val="24"/>
          <w:szCs w:val="24"/>
        </w:rPr>
        <w:t>report</w:t>
      </w:r>
      <w:r>
        <w:rPr>
          <w:rFonts w:eastAsia="Arial" w:cstheme="minorHAnsi"/>
          <w:color w:val="000000" w:themeColor="text1"/>
          <w:sz w:val="24"/>
          <w:szCs w:val="24"/>
        </w:rPr>
        <w:t xml:space="preserve"> </w:t>
      </w:r>
      <w:r w:rsidR="3CF7D048" w:rsidRPr="00F23687">
        <w:rPr>
          <w:rFonts w:asciiTheme="minorHAnsi" w:eastAsia="Arial" w:hAnsiTheme="minorHAnsi" w:cstheme="minorHAnsi"/>
          <w:color w:val="000000" w:themeColor="text1"/>
          <w:sz w:val="24"/>
          <w:szCs w:val="24"/>
        </w:rPr>
        <w:t>into the feasibility of supporting an official Overdose Prevention Centre trial in the City</w:t>
      </w:r>
      <w:r w:rsidR="2AF2FBAE" w:rsidRPr="00F23687">
        <w:rPr>
          <w:rFonts w:asciiTheme="minorHAnsi" w:eastAsia="Arial" w:hAnsiTheme="minorHAnsi" w:cstheme="minorHAnsi"/>
          <w:color w:val="000000" w:themeColor="text1"/>
          <w:sz w:val="24"/>
          <w:szCs w:val="24"/>
        </w:rPr>
        <w:t>.</w:t>
      </w:r>
      <w:r w:rsidR="6636EED2" w:rsidRPr="00C44B9C">
        <w:rPr>
          <w:rFonts w:asciiTheme="minorHAnsi" w:eastAsia="Arial" w:hAnsiTheme="minorHAnsi" w:cstheme="minorHAnsi"/>
          <w:i/>
          <w:iCs/>
          <w:color w:val="000000" w:themeColor="text1"/>
          <w:sz w:val="24"/>
          <w:szCs w:val="24"/>
        </w:rPr>
        <w:t xml:space="preserve"> </w:t>
      </w:r>
      <w:r>
        <w:rPr>
          <w:rFonts w:eastAsia="Arial" w:cstheme="minorHAnsi"/>
          <w:i/>
          <w:iCs/>
          <w:color w:val="000000" w:themeColor="text1"/>
          <w:sz w:val="24"/>
          <w:szCs w:val="24"/>
        </w:rPr>
        <w:t xml:space="preserve">  </w:t>
      </w:r>
      <w:r w:rsidRPr="00F23687">
        <w:rPr>
          <w:rFonts w:eastAsia="Arial" w:cstheme="minorHAnsi"/>
          <w:color w:val="000000" w:themeColor="text1"/>
          <w:sz w:val="24"/>
          <w:szCs w:val="24"/>
        </w:rPr>
        <w:t>The Committee</w:t>
      </w:r>
      <w:r w:rsidR="6636EED2" w:rsidRPr="00C44B9C">
        <w:rPr>
          <w:rFonts w:asciiTheme="minorHAnsi" w:eastAsia="Arial" w:hAnsiTheme="minorHAnsi" w:cstheme="minorHAnsi"/>
          <w:color w:val="000000" w:themeColor="text1"/>
          <w:sz w:val="24"/>
          <w:szCs w:val="24"/>
        </w:rPr>
        <w:t xml:space="preserve"> subsequently </w:t>
      </w:r>
      <w:r w:rsidR="54494366" w:rsidRPr="00C44B9C">
        <w:rPr>
          <w:rFonts w:asciiTheme="minorHAnsi" w:eastAsia="Arial" w:hAnsiTheme="minorHAnsi" w:cstheme="minorHAnsi"/>
          <w:color w:val="000000" w:themeColor="text1"/>
          <w:sz w:val="24"/>
          <w:szCs w:val="24"/>
        </w:rPr>
        <w:t xml:space="preserve">requested similar </w:t>
      </w:r>
      <w:r w:rsidR="0EBA2090" w:rsidRPr="00C44B9C">
        <w:rPr>
          <w:rFonts w:asciiTheme="minorHAnsi" w:eastAsia="Arial" w:hAnsiTheme="minorHAnsi" w:cstheme="minorHAnsi"/>
          <w:color w:val="000000" w:themeColor="text1"/>
          <w:sz w:val="24"/>
          <w:szCs w:val="24"/>
        </w:rPr>
        <w:t>research regarding Drug Checking Facilities. B</w:t>
      </w:r>
      <w:r w:rsidR="6636EED2" w:rsidRPr="00C44B9C">
        <w:rPr>
          <w:rFonts w:asciiTheme="minorHAnsi" w:eastAsia="Arial" w:hAnsiTheme="minorHAnsi" w:cstheme="minorHAnsi"/>
          <w:color w:val="000000" w:themeColor="text1"/>
          <w:sz w:val="24"/>
          <w:szCs w:val="24"/>
        </w:rPr>
        <w:t>oth of these were supported by the ADP</w:t>
      </w:r>
      <w:r w:rsidR="006856A6" w:rsidRPr="00C44B9C">
        <w:rPr>
          <w:rFonts w:asciiTheme="minorHAnsi" w:eastAsia="Arial" w:hAnsiTheme="minorHAnsi" w:cstheme="minorHAnsi"/>
          <w:color w:val="000000" w:themeColor="text1"/>
          <w:sz w:val="24"/>
          <w:szCs w:val="24"/>
        </w:rPr>
        <w:t xml:space="preserve"> which commissioned feasibility studies </w:t>
      </w:r>
      <w:r>
        <w:rPr>
          <w:rFonts w:eastAsia="Arial" w:cstheme="minorHAnsi"/>
          <w:color w:val="000000" w:themeColor="text1"/>
          <w:sz w:val="24"/>
          <w:szCs w:val="24"/>
        </w:rPr>
        <w:t xml:space="preserve">- </w:t>
      </w:r>
      <w:hyperlink r:id="rId16" w:history="1">
        <w:r w:rsidR="006856A6" w:rsidRPr="00C44B9C">
          <w:rPr>
            <w:rStyle w:val="Hyperlink"/>
            <w:rFonts w:asciiTheme="minorHAnsi" w:eastAsia="Arial" w:hAnsiTheme="minorHAnsi" w:cstheme="minorHAnsi"/>
            <w:sz w:val="24"/>
            <w:szCs w:val="24"/>
          </w:rPr>
          <w:t>Safer Drugs Consumption Facilities and Drug Checking Services</w:t>
        </w:r>
      </w:hyperlink>
      <w:r w:rsidR="006856A6" w:rsidRPr="00C44B9C">
        <w:rPr>
          <w:rFonts w:asciiTheme="minorHAnsi" w:eastAsia="Arial" w:hAnsiTheme="minorHAnsi" w:cstheme="minorHAnsi"/>
          <w:color w:val="000000" w:themeColor="text1"/>
          <w:sz w:val="24"/>
          <w:szCs w:val="24"/>
        </w:rPr>
        <w:t xml:space="preserve"> which assessed the local need and indicated that both have the potential to reduce harm  in Edinburgh. Subsequent </w:t>
      </w:r>
      <w:r>
        <w:rPr>
          <w:rFonts w:eastAsia="Arial" w:cstheme="minorHAnsi"/>
          <w:color w:val="000000" w:themeColor="text1"/>
          <w:sz w:val="24"/>
          <w:szCs w:val="24"/>
        </w:rPr>
        <w:t>action</w:t>
      </w:r>
      <w:r w:rsidR="006856A6" w:rsidRPr="00C44B9C">
        <w:rPr>
          <w:rFonts w:asciiTheme="minorHAnsi" w:eastAsia="Arial" w:hAnsiTheme="minorHAnsi" w:cstheme="minorHAnsi"/>
          <w:color w:val="000000" w:themeColor="text1"/>
          <w:sz w:val="24"/>
          <w:szCs w:val="24"/>
        </w:rPr>
        <w:t>s were:</w:t>
      </w:r>
      <w:bookmarkEnd w:id="24"/>
    </w:p>
    <w:p w14:paraId="0F494208" w14:textId="77777777" w:rsidR="00864715" w:rsidRPr="00864715" w:rsidRDefault="00864715" w:rsidP="00864715"/>
    <w:p w14:paraId="4DB2C1BE" w14:textId="0CCA7878" w:rsidR="006856A6" w:rsidRPr="00C44B9C" w:rsidRDefault="00F23687" w:rsidP="00F23687">
      <w:pPr>
        <w:ind w:left="720" w:hanging="720"/>
        <w:rPr>
          <w:rFonts w:eastAsia="Arial" w:cstheme="minorHAnsi"/>
          <w:color w:val="000000" w:themeColor="text1"/>
          <w:sz w:val="24"/>
          <w:szCs w:val="24"/>
        </w:rPr>
      </w:pPr>
      <w:r w:rsidRPr="008160B0">
        <w:rPr>
          <w:rFonts w:eastAsia="Arial" w:cstheme="minorHAnsi"/>
          <w:color w:val="000000" w:themeColor="text1"/>
          <w:sz w:val="24"/>
          <w:szCs w:val="24"/>
        </w:rPr>
        <w:t>38.</w:t>
      </w:r>
      <w:r>
        <w:rPr>
          <w:rFonts w:eastAsia="Arial" w:cstheme="minorHAnsi"/>
          <w:b/>
          <w:bCs/>
          <w:color w:val="000000" w:themeColor="text1"/>
          <w:sz w:val="24"/>
          <w:szCs w:val="24"/>
        </w:rPr>
        <w:tab/>
      </w:r>
      <w:r w:rsidR="006856A6" w:rsidRPr="00C44B9C">
        <w:rPr>
          <w:rFonts w:eastAsia="Arial" w:cstheme="minorHAnsi"/>
          <w:b/>
          <w:bCs/>
          <w:color w:val="000000" w:themeColor="text1"/>
          <w:sz w:val="24"/>
          <w:szCs w:val="24"/>
        </w:rPr>
        <w:t>Drug Checking services:</w:t>
      </w:r>
      <w:r w:rsidR="006856A6" w:rsidRPr="00C44B9C">
        <w:rPr>
          <w:rFonts w:eastAsia="Arial" w:cstheme="minorHAnsi"/>
          <w:color w:val="000000" w:themeColor="text1"/>
          <w:sz w:val="24"/>
          <w:szCs w:val="24"/>
        </w:rPr>
        <w:t xml:space="preserve"> there is ongoing national work on developing these in other Scottish cities through </w:t>
      </w:r>
      <w:hyperlink r:id="rId17" w:history="1">
        <w:r w:rsidR="006856A6" w:rsidRPr="00C44B9C">
          <w:rPr>
            <w:rStyle w:val="Hyperlink"/>
            <w:rFonts w:eastAsia="Arial" w:cstheme="minorHAnsi"/>
            <w:sz w:val="24"/>
            <w:szCs w:val="24"/>
          </w:rPr>
          <w:t>The Scottish Drug Checking Project</w:t>
        </w:r>
      </w:hyperlink>
      <w:r w:rsidR="006856A6" w:rsidRPr="00C44B9C">
        <w:rPr>
          <w:rFonts w:eastAsia="Arial" w:cstheme="minorHAnsi"/>
          <w:color w:val="000000" w:themeColor="text1"/>
          <w:sz w:val="24"/>
          <w:szCs w:val="24"/>
        </w:rPr>
        <w:t xml:space="preserve"> and the anticipated cost of these services is relatively low. EADP officers have joined the national development group and will return to the EADP with a specific, proposal for an Edinburgh Drug checking Service in 2024. </w:t>
      </w:r>
    </w:p>
    <w:p w14:paraId="30A080F3" w14:textId="4C0445F8" w:rsidR="00FD0DCE" w:rsidRPr="00C44B9C" w:rsidRDefault="00F23687" w:rsidP="00F23687">
      <w:pPr>
        <w:ind w:left="720" w:hanging="720"/>
        <w:rPr>
          <w:rFonts w:eastAsia="Arial" w:cstheme="minorHAnsi"/>
          <w:color w:val="000000" w:themeColor="text1"/>
          <w:sz w:val="24"/>
          <w:szCs w:val="24"/>
        </w:rPr>
      </w:pPr>
      <w:r w:rsidRPr="008160B0">
        <w:rPr>
          <w:rFonts w:eastAsia="Arial" w:cstheme="minorHAnsi"/>
          <w:color w:val="000000" w:themeColor="text1"/>
          <w:sz w:val="24"/>
          <w:szCs w:val="24"/>
        </w:rPr>
        <w:t>39.</w:t>
      </w:r>
      <w:r>
        <w:rPr>
          <w:rFonts w:eastAsia="Arial" w:cstheme="minorHAnsi"/>
          <w:b/>
          <w:bCs/>
          <w:color w:val="000000" w:themeColor="text1"/>
          <w:sz w:val="24"/>
          <w:szCs w:val="24"/>
        </w:rPr>
        <w:tab/>
      </w:r>
      <w:r w:rsidR="006856A6" w:rsidRPr="00C44B9C">
        <w:rPr>
          <w:rFonts w:eastAsia="Arial" w:cstheme="minorHAnsi"/>
          <w:b/>
          <w:bCs/>
          <w:color w:val="000000" w:themeColor="text1"/>
          <w:sz w:val="24"/>
          <w:szCs w:val="24"/>
        </w:rPr>
        <w:t xml:space="preserve">Supervised Drug Consumption </w:t>
      </w:r>
      <w:r w:rsidR="00864715" w:rsidRPr="00C44B9C">
        <w:rPr>
          <w:rFonts w:eastAsia="Arial" w:cstheme="minorHAnsi"/>
          <w:b/>
          <w:bCs/>
          <w:color w:val="000000" w:themeColor="text1"/>
          <w:sz w:val="24"/>
          <w:szCs w:val="24"/>
        </w:rPr>
        <w:t>Facilities</w:t>
      </w:r>
      <w:r>
        <w:rPr>
          <w:rFonts w:eastAsia="Arial" w:cstheme="minorHAnsi"/>
          <w:b/>
          <w:bCs/>
          <w:color w:val="000000" w:themeColor="text1"/>
          <w:sz w:val="24"/>
          <w:szCs w:val="24"/>
        </w:rPr>
        <w:t xml:space="preserve">  </w:t>
      </w:r>
      <w:r w:rsidR="00864715">
        <w:rPr>
          <w:rFonts w:eastAsia="Arial" w:cstheme="minorHAnsi"/>
          <w:b/>
          <w:bCs/>
          <w:color w:val="000000" w:themeColor="text1"/>
          <w:sz w:val="24"/>
          <w:szCs w:val="24"/>
        </w:rPr>
        <w:t xml:space="preserve"> -</w:t>
      </w:r>
      <w:r w:rsidR="00864715">
        <w:rPr>
          <w:rFonts w:eastAsia="Arial" w:cstheme="minorHAnsi"/>
          <w:color w:val="000000" w:themeColor="text1"/>
          <w:sz w:val="24"/>
          <w:szCs w:val="24"/>
        </w:rPr>
        <w:t xml:space="preserve"> </w:t>
      </w:r>
      <w:r w:rsidR="006856A6" w:rsidRPr="00C44B9C">
        <w:rPr>
          <w:rFonts w:eastAsia="Arial" w:cstheme="minorHAnsi"/>
          <w:color w:val="000000" w:themeColor="text1"/>
          <w:sz w:val="24"/>
          <w:szCs w:val="24"/>
        </w:rPr>
        <w:t>The</w:t>
      </w:r>
      <w:r w:rsidR="006856A6" w:rsidRPr="00C44B9C">
        <w:rPr>
          <w:rFonts w:eastAsia="Arial" w:cstheme="minorHAnsi"/>
          <w:b/>
          <w:bCs/>
          <w:color w:val="000000" w:themeColor="text1"/>
          <w:sz w:val="24"/>
          <w:szCs w:val="24"/>
        </w:rPr>
        <w:t xml:space="preserve"> </w:t>
      </w:r>
      <w:r w:rsidR="006856A6" w:rsidRPr="00C44B9C">
        <w:rPr>
          <w:rFonts w:eastAsia="Arial" w:cstheme="minorHAnsi"/>
          <w:color w:val="000000" w:themeColor="text1"/>
          <w:sz w:val="24"/>
          <w:szCs w:val="24"/>
        </w:rPr>
        <w:t>EADP recognises that SDCF provision has the potential to save live</w:t>
      </w:r>
      <w:r w:rsidR="00070638" w:rsidRPr="00C44B9C">
        <w:rPr>
          <w:rFonts w:eastAsia="Arial" w:cstheme="minorHAnsi"/>
          <w:color w:val="000000" w:themeColor="text1"/>
          <w:sz w:val="24"/>
          <w:szCs w:val="24"/>
        </w:rPr>
        <w:t>s</w:t>
      </w:r>
      <w:r w:rsidR="006856A6" w:rsidRPr="00C44B9C">
        <w:rPr>
          <w:rFonts w:eastAsia="Arial" w:cstheme="minorHAnsi"/>
          <w:color w:val="000000" w:themeColor="text1"/>
          <w:sz w:val="24"/>
          <w:szCs w:val="24"/>
        </w:rPr>
        <w:t xml:space="preserve">, produce wider community benefits and potentially help people access other services. It is keen, though, that it should come at no detriment to existing services that reduce drug and alcohol-related harms. It is seeking confidence that additional financial support will be forthcoming </w:t>
      </w:r>
      <w:r>
        <w:rPr>
          <w:rFonts w:eastAsia="Arial" w:cstheme="minorHAnsi"/>
          <w:color w:val="000000" w:themeColor="text1"/>
          <w:sz w:val="24"/>
          <w:szCs w:val="24"/>
        </w:rPr>
        <w:t xml:space="preserve">to support this </w:t>
      </w:r>
      <w:r w:rsidR="006856A6" w:rsidRPr="00C44B9C">
        <w:rPr>
          <w:rFonts w:eastAsia="Arial" w:cstheme="minorHAnsi"/>
          <w:color w:val="000000" w:themeColor="text1"/>
          <w:sz w:val="24"/>
          <w:szCs w:val="24"/>
        </w:rPr>
        <w:t>service development</w:t>
      </w:r>
      <w:r w:rsidR="00BF4E15">
        <w:rPr>
          <w:rFonts w:eastAsia="Arial" w:cstheme="minorHAnsi"/>
          <w:color w:val="000000" w:themeColor="text1"/>
          <w:sz w:val="24"/>
          <w:szCs w:val="24"/>
        </w:rPr>
        <w:t xml:space="preserve">. </w:t>
      </w:r>
      <w:r>
        <w:rPr>
          <w:rFonts w:eastAsia="Arial" w:cstheme="minorHAnsi"/>
          <w:color w:val="000000" w:themeColor="text1"/>
          <w:sz w:val="24"/>
          <w:szCs w:val="24"/>
        </w:rPr>
        <w:t xml:space="preserve">Any development would </w:t>
      </w:r>
      <w:r w:rsidR="00BF4E15">
        <w:rPr>
          <w:rFonts w:eastAsia="Arial" w:cstheme="minorHAnsi"/>
          <w:color w:val="000000" w:themeColor="text1"/>
          <w:sz w:val="24"/>
          <w:szCs w:val="24"/>
        </w:rPr>
        <w:t xml:space="preserve">require </w:t>
      </w:r>
      <w:r w:rsidR="00BF4E15" w:rsidRPr="00C44B9C">
        <w:rPr>
          <w:rFonts w:eastAsia="Arial" w:cstheme="minorHAnsi"/>
          <w:color w:val="000000" w:themeColor="text1"/>
          <w:sz w:val="24"/>
          <w:szCs w:val="24"/>
        </w:rPr>
        <w:t>approval</w:t>
      </w:r>
      <w:r w:rsidR="006856A6" w:rsidRPr="00C44B9C">
        <w:rPr>
          <w:rFonts w:eastAsia="Arial" w:cstheme="minorHAnsi"/>
          <w:color w:val="000000" w:themeColor="text1"/>
          <w:sz w:val="24"/>
          <w:szCs w:val="24"/>
        </w:rPr>
        <w:t xml:space="preserve"> from the Lord Advocate. EADP is currently working with </w:t>
      </w:r>
      <w:r>
        <w:rPr>
          <w:rFonts w:eastAsia="Arial" w:cstheme="minorHAnsi"/>
          <w:color w:val="000000" w:themeColor="text1"/>
          <w:sz w:val="24"/>
          <w:szCs w:val="24"/>
        </w:rPr>
        <w:t>P</w:t>
      </w:r>
      <w:r w:rsidRPr="00C44B9C">
        <w:rPr>
          <w:rFonts w:eastAsia="Arial" w:cstheme="minorHAnsi"/>
          <w:color w:val="000000" w:themeColor="text1"/>
          <w:sz w:val="24"/>
          <w:szCs w:val="24"/>
        </w:rPr>
        <w:t xml:space="preserve">ublic </w:t>
      </w:r>
      <w:r>
        <w:rPr>
          <w:rFonts w:eastAsia="Arial" w:cstheme="minorHAnsi"/>
          <w:color w:val="000000" w:themeColor="text1"/>
          <w:sz w:val="24"/>
          <w:szCs w:val="24"/>
        </w:rPr>
        <w:t>H</w:t>
      </w:r>
      <w:r w:rsidRPr="00C44B9C">
        <w:rPr>
          <w:rFonts w:eastAsia="Arial" w:cstheme="minorHAnsi"/>
          <w:color w:val="000000" w:themeColor="text1"/>
          <w:sz w:val="24"/>
          <w:szCs w:val="24"/>
        </w:rPr>
        <w:t>ealth</w:t>
      </w:r>
      <w:r>
        <w:rPr>
          <w:rFonts w:eastAsia="Arial" w:cstheme="minorHAnsi"/>
          <w:color w:val="000000" w:themeColor="text1"/>
          <w:sz w:val="24"/>
          <w:szCs w:val="24"/>
        </w:rPr>
        <w:t>,</w:t>
      </w:r>
      <w:r w:rsidRPr="00C44B9C">
        <w:rPr>
          <w:rFonts w:eastAsia="Arial" w:cstheme="minorHAnsi"/>
          <w:color w:val="000000" w:themeColor="text1"/>
          <w:sz w:val="24"/>
          <w:szCs w:val="24"/>
        </w:rPr>
        <w:t xml:space="preserve"> </w:t>
      </w:r>
      <w:r w:rsidR="006856A6" w:rsidRPr="00C44B9C">
        <w:rPr>
          <w:rFonts w:eastAsia="Arial" w:cstheme="minorHAnsi"/>
          <w:color w:val="000000" w:themeColor="text1"/>
          <w:sz w:val="24"/>
          <w:szCs w:val="24"/>
        </w:rPr>
        <w:t xml:space="preserve">NHS Lothian </w:t>
      </w:r>
      <w:r w:rsidR="00867599" w:rsidRPr="00C44B9C">
        <w:rPr>
          <w:rFonts w:eastAsia="Arial" w:cstheme="minorHAnsi"/>
          <w:color w:val="000000" w:themeColor="text1"/>
          <w:sz w:val="24"/>
          <w:szCs w:val="24"/>
        </w:rPr>
        <w:t>to d</w:t>
      </w:r>
      <w:r w:rsidR="006856A6" w:rsidRPr="00C44B9C">
        <w:rPr>
          <w:rFonts w:eastAsia="Arial" w:cstheme="minorHAnsi"/>
          <w:color w:val="000000" w:themeColor="text1"/>
          <w:sz w:val="24"/>
          <w:szCs w:val="24"/>
        </w:rPr>
        <w:t xml:space="preserve">evelop an </w:t>
      </w:r>
      <w:r w:rsidR="006856A6" w:rsidRPr="00C44B9C">
        <w:rPr>
          <w:rFonts w:eastAsia="Arial" w:cstheme="minorHAnsi"/>
          <w:color w:val="000000" w:themeColor="text1"/>
          <w:sz w:val="24"/>
          <w:szCs w:val="24"/>
        </w:rPr>
        <w:lastRenderedPageBreak/>
        <w:t>implementation plan in line with the SDCF recommendations with an emphasis on identifying sustainable resource for the project</w:t>
      </w:r>
    </w:p>
    <w:p w14:paraId="0C70D6EC" w14:textId="7EE0AD1A" w:rsidR="00346102" w:rsidRDefault="00F23687" w:rsidP="00864715">
      <w:pPr>
        <w:pStyle w:val="Heading1"/>
        <w:ind w:left="720" w:hanging="720"/>
        <w:rPr>
          <w:rFonts w:asciiTheme="minorHAnsi" w:hAnsiTheme="minorHAnsi" w:cstheme="minorHAnsi"/>
          <w:color w:val="auto"/>
          <w:sz w:val="24"/>
          <w:szCs w:val="24"/>
        </w:rPr>
      </w:pPr>
      <w:bookmarkStart w:id="25" w:name="_Toc174006753"/>
      <w:bookmarkEnd w:id="15"/>
      <w:r w:rsidRPr="008160B0">
        <w:rPr>
          <w:rFonts w:asciiTheme="minorHAnsi" w:hAnsiTheme="minorHAnsi" w:cstheme="minorHAnsi"/>
          <w:color w:val="auto"/>
          <w:sz w:val="24"/>
          <w:szCs w:val="24"/>
        </w:rPr>
        <w:t>40.</w:t>
      </w:r>
      <w:r>
        <w:rPr>
          <w:rFonts w:asciiTheme="minorHAnsi" w:hAnsiTheme="minorHAnsi" w:cstheme="minorHAnsi"/>
          <w:sz w:val="24"/>
          <w:szCs w:val="24"/>
        </w:rPr>
        <w:tab/>
      </w:r>
      <w:r w:rsidR="71D70498" w:rsidRPr="0070583F">
        <w:rPr>
          <w:rFonts w:asciiTheme="minorHAnsi" w:hAnsiTheme="minorHAnsi" w:cstheme="minorHAnsi"/>
          <w:b/>
          <w:bCs/>
          <w:sz w:val="24"/>
          <w:szCs w:val="24"/>
        </w:rPr>
        <w:t xml:space="preserve">Expansion of </w:t>
      </w:r>
      <w:r w:rsidR="284C6029" w:rsidRPr="0070583F">
        <w:rPr>
          <w:rFonts w:asciiTheme="minorHAnsi" w:hAnsiTheme="minorHAnsi" w:cstheme="minorHAnsi"/>
          <w:b/>
          <w:bCs/>
          <w:sz w:val="24"/>
          <w:szCs w:val="24"/>
        </w:rPr>
        <w:t>R</w:t>
      </w:r>
      <w:r w:rsidR="71D70498" w:rsidRPr="0070583F">
        <w:rPr>
          <w:rFonts w:asciiTheme="minorHAnsi" w:hAnsiTheme="minorHAnsi" w:cstheme="minorHAnsi"/>
          <w:b/>
          <w:bCs/>
          <w:sz w:val="24"/>
          <w:szCs w:val="24"/>
        </w:rPr>
        <w:t xml:space="preserve">esidential </w:t>
      </w:r>
      <w:r w:rsidR="42BAF01B" w:rsidRPr="0070583F">
        <w:rPr>
          <w:rFonts w:asciiTheme="minorHAnsi" w:hAnsiTheme="minorHAnsi" w:cstheme="minorHAnsi"/>
          <w:b/>
          <w:bCs/>
          <w:sz w:val="24"/>
          <w:szCs w:val="24"/>
        </w:rPr>
        <w:t>R</w:t>
      </w:r>
      <w:r w:rsidR="71D70498" w:rsidRPr="0070583F">
        <w:rPr>
          <w:rFonts w:asciiTheme="minorHAnsi" w:hAnsiTheme="minorHAnsi" w:cstheme="minorHAnsi"/>
          <w:b/>
          <w:bCs/>
          <w:sz w:val="24"/>
          <w:szCs w:val="24"/>
        </w:rPr>
        <w:t>ehabilitation capacity</w:t>
      </w:r>
      <w:r w:rsidR="00864715">
        <w:rPr>
          <w:rFonts w:asciiTheme="minorHAnsi" w:hAnsiTheme="minorHAnsi" w:cstheme="minorHAnsi"/>
          <w:b/>
          <w:bCs/>
          <w:sz w:val="24"/>
          <w:szCs w:val="24"/>
        </w:rPr>
        <w:t xml:space="preserve"> - </w:t>
      </w:r>
      <w:r w:rsidR="00346102" w:rsidRPr="00864715">
        <w:rPr>
          <w:rFonts w:asciiTheme="minorHAnsi" w:hAnsiTheme="minorHAnsi" w:cstheme="minorHAnsi"/>
          <w:color w:val="auto"/>
          <w:sz w:val="24"/>
          <w:szCs w:val="24"/>
        </w:rPr>
        <w:t xml:space="preserve">Expanding access to residential rehabilitation is a key strategic priority for the ADP and the Scottish Government. For Edinburgh </w:t>
      </w:r>
      <w:r w:rsidR="00771BB5" w:rsidRPr="00864715">
        <w:rPr>
          <w:rFonts w:asciiTheme="minorHAnsi" w:hAnsiTheme="minorHAnsi" w:cstheme="minorHAnsi"/>
          <w:color w:val="auto"/>
          <w:sz w:val="24"/>
          <w:szCs w:val="24"/>
        </w:rPr>
        <w:t>r</w:t>
      </w:r>
      <w:r w:rsidR="00346102" w:rsidRPr="00864715">
        <w:rPr>
          <w:rFonts w:asciiTheme="minorHAnsi" w:hAnsiTheme="minorHAnsi" w:cstheme="minorHAnsi"/>
          <w:color w:val="auto"/>
          <w:sz w:val="24"/>
          <w:szCs w:val="24"/>
        </w:rPr>
        <w:t xml:space="preserve">esidents, </w:t>
      </w:r>
      <w:r w:rsidR="00076741" w:rsidRPr="00864715">
        <w:rPr>
          <w:rFonts w:asciiTheme="minorHAnsi" w:hAnsiTheme="minorHAnsi" w:cstheme="minorHAnsi"/>
          <w:color w:val="auto"/>
          <w:sz w:val="24"/>
          <w:szCs w:val="24"/>
        </w:rPr>
        <w:t>most of the</w:t>
      </w:r>
      <w:r w:rsidR="00346102" w:rsidRPr="00864715">
        <w:rPr>
          <w:rFonts w:asciiTheme="minorHAnsi" w:hAnsiTheme="minorHAnsi" w:cstheme="minorHAnsi"/>
          <w:color w:val="auto"/>
          <w:sz w:val="24"/>
          <w:szCs w:val="24"/>
        </w:rPr>
        <w:t xml:space="preserve"> </w:t>
      </w:r>
      <w:r w:rsidRPr="00864715">
        <w:rPr>
          <w:rFonts w:cstheme="minorHAnsi"/>
          <w:color w:val="auto"/>
          <w:sz w:val="24"/>
          <w:szCs w:val="24"/>
        </w:rPr>
        <w:t>rehabilitation</w:t>
      </w:r>
      <w:r w:rsidR="00346102" w:rsidRPr="00864715">
        <w:rPr>
          <w:rFonts w:asciiTheme="minorHAnsi" w:hAnsiTheme="minorHAnsi" w:cstheme="minorHAnsi"/>
          <w:color w:val="auto"/>
          <w:sz w:val="24"/>
          <w:szCs w:val="24"/>
        </w:rPr>
        <w:t xml:space="preserve"> provision is delivered by the LEAP programme and its associated pathway </w:t>
      </w:r>
      <w:r w:rsidR="00C722C6" w:rsidRPr="00864715">
        <w:rPr>
          <w:rFonts w:asciiTheme="minorHAnsi" w:hAnsiTheme="minorHAnsi" w:cstheme="minorHAnsi"/>
          <w:color w:val="auto"/>
          <w:sz w:val="24"/>
          <w:szCs w:val="24"/>
        </w:rPr>
        <w:t>through the</w:t>
      </w:r>
      <w:r w:rsidR="00346102" w:rsidRPr="00864715">
        <w:rPr>
          <w:rFonts w:asciiTheme="minorHAnsi" w:hAnsiTheme="minorHAnsi" w:cstheme="minorHAnsi"/>
          <w:color w:val="auto"/>
          <w:sz w:val="24"/>
          <w:szCs w:val="24"/>
        </w:rPr>
        <w:t xml:space="preserve"> Ritson </w:t>
      </w:r>
      <w:r w:rsidRPr="00864715">
        <w:rPr>
          <w:rFonts w:cstheme="minorHAnsi"/>
          <w:color w:val="auto"/>
          <w:sz w:val="24"/>
          <w:szCs w:val="24"/>
        </w:rPr>
        <w:t>D</w:t>
      </w:r>
      <w:r w:rsidR="00346102" w:rsidRPr="00864715">
        <w:rPr>
          <w:rFonts w:asciiTheme="minorHAnsi" w:hAnsiTheme="minorHAnsi" w:cstheme="minorHAnsi"/>
          <w:color w:val="auto"/>
          <w:sz w:val="24"/>
          <w:szCs w:val="24"/>
        </w:rPr>
        <w:t>etox unit</w:t>
      </w:r>
      <w:r w:rsidR="00C722C6" w:rsidRPr="00864715">
        <w:rPr>
          <w:rFonts w:asciiTheme="minorHAnsi" w:hAnsiTheme="minorHAnsi" w:cstheme="minorHAnsi"/>
          <w:color w:val="auto"/>
          <w:sz w:val="24"/>
          <w:szCs w:val="24"/>
        </w:rPr>
        <w:t>. F</w:t>
      </w:r>
      <w:r w:rsidR="00346102" w:rsidRPr="00864715">
        <w:rPr>
          <w:rFonts w:asciiTheme="minorHAnsi" w:hAnsiTheme="minorHAnsi" w:cstheme="minorHAnsi"/>
          <w:color w:val="auto"/>
          <w:sz w:val="24"/>
          <w:szCs w:val="24"/>
        </w:rPr>
        <w:t>amily and peer support, out of hours care and accommodation, aftercare support and accommodation, employability and meaningful activity project</w:t>
      </w:r>
      <w:r w:rsidR="00771BB5" w:rsidRPr="00864715">
        <w:rPr>
          <w:rFonts w:asciiTheme="minorHAnsi" w:hAnsiTheme="minorHAnsi" w:cstheme="minorHAnsi"/>
          <w:color w:val="auto"/>
          <w:sz w:val="24"/>
          <w:szCs w:val="24"/>
        </w:rPr>
        <w:t>s</w:t>
      </w:r>
      <w:r w:rsidR="00346102" w:rsidRPr="00864715">
        <w:rPr>
          <w:rFonts w:asciiTheme="minorHAnsi" w:hAnsiTheme="minorHAnsi" w:cstheme="minorHAnsi"/>
          <w:color w:val="auto"/>
          <w:sz w:val="24"/>
          <w:szCs w:val="24"/>
        </w:rPr>
        <w:t xml:space="preserve"> and</w:t>
      </w:r>
      <w:r w:rsidR="007E249B" w:rsidRPr="00864715">
        <w:rPr>
          <w:rFonts w:asciiTheme="minorHAnsi" w:hAnsiTheme="minorHAnsi" w:cstheme="minorHAnsi"/>
          <w:color w:val="auto"/>
          <w:sz w:val="24"/>
          <w:szCs w:val="24"/>
        </w:rPr>
        <w:t xml:space="preserve"> </w:t>
      </w:r>
      <w:r w:rsidR="00346102" w:rsidRPr="00864715">
        <w:rPr>
          <w:rFonts w:asciiTheme="minorHAnsi" w:hAnsiTheme="minorHAnsi" w:cstheme="minorHAnsi"/>
          <w:color w:val="auto"/>
          <w:sz w:val="24"/>
          <w:szCs w:val="24"/>
        </w:rPr>
        <w:t xml:space="preserve">social work support </w:t>
      </w:r>
      <w:r w:rsidR="007E249B" w:rsidRPr="00864715">
        <w:rPr>
          <w:rFonts w:asciiTheme="minorHAnsi" w:hAnsiTheme="minorHAnsi" w:cstheme="minorHAnsi"/>
          <w:color w:val="auto"/>
          <w:sz w:val="24"/>
          <w:szCs w:val="24"/>
        </w:rPr>
        <w:t xml:space="preserve">are part of the support </w:t>
      </w:r>
      <w:r w:rsidR="00076741" w:rsidRPr="00864715">
        <w:rPr>
          <w:rFonts w:asciiTheme="minorHAnsi" w:hAnsiTheme="minorHAnsi" w:cstheme="minorHAnsi"/>
          <w:color w:val="auto"/>
          <w:sz w:val="24"/>
          <w:szCs w:val="24"/>
        </w:rPr>
        <w:t>offered</w:t>
      </w:r>
      <w:r w:rsidR="00A1355C" w:rsidRPr="00864715">
        <w:rPr>
          <w:rFonts w:asciiTheme="minorHAnsi" w:hAnsiTheme="minorHAnsi" w:cstheme="minorHAnsi"/>
          <w:color w:val="auto"/>
          <w:sz w:val="24"/>
          <w:szCs w:val="24"/>
        </w:rPr>
        <w:t>.</w:t>
      </w:r>
      <w:r w:rsidR="00346102" w:rsidRPr="00864715">
        <w:rPr>
          <w:rFonts w:asciiTheme="minorHAnsi" w:hAnsiTheme="minorHAnsi" w:cstheme="minorHAnsi"/>
          <w:color w:val="auto"/>
          <w:sz w:val="24"/>
          <w:szCs w:val="24"/>
        </w:rPr>
        <w:t xml:space="preserve"> Pre</w:t>
      </w:r>
      <w:r w:rsidR="00771BB5" w:rsidRPr="00864715">
        <w:rPr>
          <w:rFonts w:asciiTheme="minorHAnsi" w:hAnsiTheme="minorHAnsi" w:cstheme="minorHAnsi"/>
          <w:color w:val="auto"/>
          <w:sz w:val="24"/>
          <w:szCs w:val="24"/>
        </w:rPr>
        <w:t xml:space="preserve"> </w:t>
      </w:r>
      <w:r w:rsidR="00346102" w:rsidRPr="00864715">
        <w:rPr>
          <w:rFonts w:asciiTheme="minorHAnsi" w:hAnsiTheme="minorHAnsi" w:cstheme="minorHAnsi"/>
          <w:color w:val="auto"/>
          <w:sz w:val="24"/>
          <w:szCs w:val="24"/>
        </w:rPr>
        <w:t xml:space="preserve">COVID, LEAP had capacity to treat 20 </w:t>
      </w:r>
      <w:r w:rsidR="008C35A9" w:rsidRPr="00864715">
        <w:rPr>
          <w:rFonts w:asciiTheme="minorHAnsi" w:hAnsiTheme="minorHAnsi" w:cstheme="minorHAnsi"/>
          <w:color w:val="auto"/>
          <w:sz w:val="24"/>
          <w:szCs w:val="24"/>
        </w:rPr>
        <w:t>people</w:t>
      </w:r>
      <w:r w:rsidR="00346102" w:rsidRPr="00864715">
        <w:rPr>
          <w:rFonts w:asciiTheme="minorHAnsi" w:hAnsiTheme="minorHAnsi" w:cstheme="minorHAnsi"/>
          <w:color w:val="auto"/>
          <w:sz w:val="24"/>
          <w:szCs w:val="24"/>
        </w:rPr>
        <w:t xml:space="preserve"> at a time, equating to 80 to 90 </w:t>
      </w:r>
      <w:r w:rsidR="008C35A9" w:rsidRPr="00864715">
        <w:rPr>
          <w:rFonts w:asciiTheme="minorHAnsi" w:hAnsiTheme="minorHAnsi" w:cstheme="minorHAnsi"/>
          <w:color w:val="auto"/>
          <w:sz w:val="24"/>
          <w:szCs w:val="24"/>
        </w:rPr>
        <w:t>people</w:t>
      </w:r>
      <w:r w:rsidR="00346102" w:rsidRPr="00864715">
        <w:rPr>
          <w:rFonts w:asciiTheme="minorHAnsi" w:hAnsiTheme="minorHAnsi" w:cstheme="minorHAnsi"/>
          <w:color w:val="auto"/>
          <w:sz w:val="24"/>
          <w:szCs w:val="24"/>
        </w:rPr>
        <w:t xml:space="preserve"> per year (approximately 60% of whom are typically </w:t>
      </w:r>
      <w:r w:rsidR="00771BB5" w:rsidRPr="00864715">
        <w:rPr>
          <w:rFonts w:asciiTheme="minorHAnsi" w:hAnsiTheme="minorHAnsi" w:cstheme="minorHAnsi"/>
          <w:color w:val="auto"/>
          <w:sz w:val="24"/>
          <w:szCs w:val="24"/>
        </w:rPr>
        <w:t>Edinburgh</w:t>
      </w:r>
      <w:r w:rsidR="00346102" w:rsidRPr="00864715">
        <w:rPr>
          <w:rFonts w:asciiTheme="minorHAnsi" w:hAnsiTheme="minorHAnsi" w:cstheme="minorHAnsi"/>
          <w:color w:val="auto"/>
          <w:sz w:val="24"/>
          <w:szCs w:val="24"/>
        </w:rPr>
        <w:t xml:space="preserve"> residents).</w:t>
      </w:r>
      <w:bookmarkEnd w:id="25"/>
    </w:p>
    <w:p w14:paraId="538AFC6A" w14:textId="77777777" w:rsidR="00864715" w:rsidRDefault="00864715" w:rsidP="00F23687">
      <w:pPr>
        <w:ind w:left="720" w:hanging="720"/>
        <w:jc w:val="both"/>
        <w:rPr>
          <w:rFonts w:cstheme="minorHAnsi"/>
          <w:sz w:val="24"/>
          <w:szCs w:val="24"/>
        </w:rPr>
      </w:pPr>
    </w:p>
    <w:p w14:paraId="455566EB" w14:textId="3D0DBFFC" w:rsidR="00557EFA" w:rsidRDefault="00F23687" w:rsidP="00F23687">
      <w:pPr>
        <w:ind w:left="720" w:hanging="720"/>
        <w:jc w:val="both"/>
        <w:rPr>
          <w:rFonts w:cstheme="minorHAnsi"/>
          <w:sz w:val="24"/>
          <w:szCs w:val="24"/>
        </w:rPr>
      </w:pPr>
      <w:r>
        <w:rPr>
          <w:rFonts w:cstheme="minorHAnsi"/>
          <w:sz w:val="24"/>
          <w:szCs w:val="24"/>
        </w:rPr>
        <w:t>41.</w:t>
      </w:r>
      <w:r>
        <w:rPr>
          <w:rFonts w:cstheme="minorHAnsi"/>
          <w:sz w:val="24"/>
          <w:szCs w:val="24"/>
        </w:rPr>
        <w:tab/>
      </w:r>
      <w:r w:rsidR="00346102" w:rsidRPr="00C44B9C">
        <w:rPr>
          <w:rFonts w:cstheme="minorHAnsi"/>
          <w:sz w:val="24"/>
          <w:szCs w:val="24"/>
        </w:rPr>
        <w:t xml:space="preserve">Following </w:t>
      </w:r>
      <w:r>
        <w:rPr>
          <w:rFonts w:cstheme="minorHAnsi"/>
          <w:sz w:val="24"/>
          <w:szCs w:val="24"/>
        </w:rPr>
        <w:t xml:space="preserve">the </w:t>
      </w:r>
      <w:r w:rsidR="00346102" w:rsidRPr="00C44B9C">
        <w:rPr>
          <w:rFonts w:cstheme="minorHAnsi"/>
          <w:sz w:val="24"/>
          <w:szCs w:val="24"/>
        </w:rPr>
        <w:t xml:space="preserve">announcement of additional Scottish Government and ADP funding being available for Residential Rehab, LEAP and its partners developed a </w:t>
      </w:r>
      <w:r w:rsidR="00EB4472" w:rsidRPr="00C44B9C">
        <w:rPr>
          <w:rFonts w:cstheme="minorHAnsi"/>
          <w:sz w:val="24"/>
          <w:szCs w:val="24"/>
        </w:rPr>
        <w:t xml:space="preserve">5 year plan which has been </w:t>
      </w:r>
      <w:r w:rsidR="00346102" w:rsidRPr="00C44B9C">
        <w:rPr>
          <w:rFonts w:cstheme="minorHAnsi"/>
          <w:sz w:val="24"/>
          <w:szCs w:val="24"/>
        </w:rPr>
        <w:t>jointly funded by the Lothians ADPs and the Scottish Government.</w:t>
      </w:r>
      <w:r w:rsidR="0070583F">
        <w:rPr>
          <w:rFonts w:cstheme="minorHAnsi"/>
          <w:sz w:val="24"/>
          <w:szCs w:val="24"/>
        </w:rPr>
        <w:t xml:space="preserve"> </w:t>
      </w:r>
    </w:p>
    <w:p w14:paraId="131C7E9C" w14:textId="1ADAE723" w:rsidR="0070583F" w:rsidRPr="00C44B9C" w:rsidRDefault="0070583F" w:rsidP="0070583F">
      <w:pPr>
        <w:ind w:left="720" w:hanging="720"/>
        <w:rPr>
          <w:rFonts w:cstheme="minorHAnsi"/>
          <w:sz w:val="24"/>
          <w:szCs w:val="24"/>
        </w:rPr>
      </w:pPr>
      <w:r>
        <w:rPr>
          <w:rFonts w:cstheme="minorHAnsi"/>
          <w:sz w:val="24"/>
          <w:szCs w:val="24"/>
        </w:rPr>
        <w:t>42.</w:t>
      </w:r>
      <w:r>
        <w:rPr>
          <w:rFonts w:cstheme="minorHAnsi"/>
          <w:sz w:val="24"/>
          <w:szCs w:val="24"/>
        </w:rPr>
        <w:tab/>
      </w:r>
      <w:r w:rsidRPr="00C44B9C">
        <w:rPr>
          <w:rFonts w:cstheme="minorHAnsi"/>
          <w:sz w:val="24"/>
          <w:szCs w:val="24"/>
        </w:rPr>
        <w:t xml:space="preserve">In 2023-24, three major workstreams </w:t>
      </w:r>
      <w:r>
        <w:rPr>
          <w:rFonts w:cstheme="minorHAnsi"/>
          <w:sz w:val="24"/>
          <w:szCs w:val="24"/>
        </w:rPr>
        <w:t>focused on residential rehabilitation commenced:</w:t>
      </w:r>
    </w:p>
    <w:p w14:paraId="4731E3F7" w14:textId="77777777" w:rsidR="0070583F" w:rsidRPr="0070583F" w:rsidRDefault="0070583F" w:rsidP="0070583F">
      <w:pPr>
        <w:pStyle w:val="ListParagraph"/>
        <w:numPr>
          <w:ilvl w:val="0"/>
          <w:numId w:val="25"/>
        </w:numPr>
        <w:rPr>
          <w:rFonts w:cstheme="minorHAnsi"/>
          <w:sz w:val="24"/>
          <w:szCs w:val="24"/>
        </w:rPr>
      </w:pPr>
      <w:r w:rsidRPr="0070583F">
        <w:rPr>
          <w:rFonts w:cstheme="minorHAnsi"/>
          <w:sz w:val="24"/>
          <w:szCs w:val="24"/>
        </w:rPr>
        <w:t>Securing out of hours accommodation and support for additional residents this has now been established via Cyrenians and the new arrangement has been very positively received: there are now 23 beds available for people while they are going through the LEAP programme. This is not clearly sustainable but has been effective for 2023-24</w:t>
      </w:r>
    </w:p>
    <w:p w14:paraId="60034489" w14:textId="77777777" w:rsidR="0070583F" w:rsidRPr="0070583F" w:rsidRDefault="0070583F" w:rsidP="0070583F">
      <w:pPr>
        <w:pStyle w:val="ListParagraph"/>
        <w:numPr>
          <w:ilvl w:val="0"/>
          <w:numId w:val="25"/>
        </w:numPr>
        <w:rPr>
          <w:rFonts w:eastAsia="Arial" w:cstheme="minorHAnsi"/>
          <w:sz w:val="24"/>
          <w:szCs w:val="24"/>
        </w:rPr>
      </w:pPr>
      <w:r w:rsidRPr="0070583F">
        <w:rPr>
          <w:rFonts w:eastAsia="Arial" w:cstheme="minorHAnsi"/>
          <w:sz w:val="24"/>
          <w:szCs w:val="24"/>
        </w:rPr>
        <w:t xml:space="preserve">Developing a general improvement plan for Edinburgh residential rehab (based on national expectations for access and choice) - this work is being supported by Healthcare Improvement Scotland (HIS). </w:t>
      </w:r>
    </w:p>
    <w:p w14:paraId="78691262" w14:textId="3B4651DB" w:rsidR="0070583F" w:rsidRPr="0070583F" w:rsidRDefault="0070583F" w:rsidP="0070583F">
      <w:pPr>
        <w:pStyle w:val="ListParagraph"/>
        <w:numPr>
          <w:ilvl w:val="0"/>
          <w:numId w:val="25"/>
        </w:numPr>
        <w:rPr>
          <w:rFonts w:eastAsia="Arial" w:cstheme="minorHAnsi"/>
          <w:sz w:val="24"/>
          <w:szCs w:val="24"/>
        </w:rPr>
      </w:pPr>
      <w:r w:rsidRPr="0070583F">
        <w:rPr>
          <w:rFonts w:eastAsia="Arial" w:cstheme="minorHAnsi"/>
          <w:sz w:val="24"/>
          <w:szCs w:val="24"/>
        </w:rPr>
        <w:t xml:space="preserve">Pathway development: The process for assessment and preparation for rehab in Edinburgh remains a restricting factor to admission for Edinburgh patients (as does the available treatment capacity). HIS, LEAP, City of Edinburgh Council and the EADP team have continued to work on improving the process. </w:t>
      </w:r>
    </w:p>
    <w:p w14:paraId="372C2531" w14:textId="656A2FA9" w:rsidR="00EB4472" w:rsidRDefault="0070583F" w:rsidP="0070583F">
      <w:pPr>
        <w:ind w:left="720" w:hanging="720"/>
        <w:jc w:val="both"/>
        <w:rPr>
          <w:rFonts w:cstheme="minorHAnsi"/>
          <w:b/>
          <w:bCs/>
          <w:sz w:val="24"/>
          <w:szCs w:val="24"/>
        </w:rPr>
      </w:pPr>
      <w:r>
        <w:rPr>
          <w:rFonts w:cstheme="minorHAnsi"/>
          <w:sz w:val="24"/>
          <w:szCs w:val="24"/>
        </w:rPr>
        <w:t xml:space="preserve"> 43.</w:t>
      </w:r>
      <w:r>
        <w:rPr>
          <w:rFonts w:cstheme="minorHAnsi"/>
          <w:sz w:val="24"/>
          <w:szCs w:val="24"/>
        </w:rPr>
        <w:tab/>
      </w:r>
      <w:r w:rsidR="00F23687" w:rsidRPr="00F23687">
        <w:rPr>
          <w:rFonts w:cstheme="minorHAnsi"/>
          <w:b/>
          <w:bCs/>
          <w:sz w:val="24"/>
          <w:szCs w:val="24"/>
        </w:rPr>
        <w:t>O</w:t>
      </w:r>
      <w:r w:rsidR="00EB4472" w:rsidRPr="00F23687">
        <w:rPr>
          <w:rFonts w:cstheme="minorHAnsi"/>
          <w:b/>
          <w:bCs/>
          <w:sz w:val="24"/>
          <w:szCs w:val="24"/>
        </w:rPr>
        <w:t xml:space="preserve">bjectives and this year’s progress </w:t>
      </w:r>
    </w:p>
    <w:tbl>
      <w:tblPr>
        <w:tblStyle w:val="TableGrid"/>
        <w:tblW w:w="0" w:type="auto"/>
        <w:tblInd w:w="-147" w:type="dxa"/>
        <w:tblLook w:val="04A0" w:firstRow="1" w:lastRow="0" w:firstColumn="1" w:lastColumn="0" w:noHBand="0" w:noVBand="1"/>
      </w:tblPr>
      <w:tblGrid>
        <w:gridCol w:w="4820"/>
        <w:gridCol w:w="4343"/>
      </w:tblGrid>
      <w:tr w:rsidR="00601CF5" w:rsidRPr="00C44B9C" w14:paraId="5202E7EB" w14:textId="77777777" w:rsidTr="0070583F">
        <w:tc>
          <w:tcPr>
            <w:tcW w:w="4820" w:type="dxa"/>
            <w:shd w:val="clear" w:color="auto" w:fill="8EAADB" w:themeFill="accent1" w:themeFillTint="99"/>
          </w:tcPr>
          <w:p w14:paraId="58BC2BBF" w14:textId="379AE22B" w:rsidR="00601CF5" w:rsidRPr="008160B0" w:rsidRDefault="000A262B" w:rsidP="00601CF5">
            <w:pPr>
              <w:rPr>
                <w:rFonts w:asciiTheme="minorHAnsi" w:hAnsiTheme="minorHAnsi" w:cstheme="minorHAnsi"/>
                <w:b/>
                <w:bCs/>
                <w:color w:val="FFFFFF" w:themeColor="background1"/>
                <w:sz w:val="24"/>
                <w:szCs w:val="24"/>
              </w:rPr>
            </w:pPr>
            <w:r w:rsidRPr="008160B0">
              <w:rPr>
                <w:rFonts w:asciiTheme="minorHAnsi" w:hAnsiTheme="minorHAnsi" w:cstheme="minorHAnsi"/>
                <w:b/>
                <w:bCs/>
                <w:color w:val="FFFFFF" w:themeColor="background1"/>
                <w:sz w:val="24"/>
                <w:szCs w:val="24"/>
              </w:rPr>
              <w:t>Objective</w:t>
            </w:r>
            <w:r w:rsidR="00601CF5" w:rsidRPr="008160B0">
              <w:rPr>
                <w:rFonts w:asciiTheme="minorHAnsi" w:hAnsiTheme="minorHAnsi" w:cstheme="minorHAnsi"/>
                <w:b/>
                <w:bCs/>
                <w:color w:val="FFFFFF" w:themeColor="background1"/>
                <w:sz w:val="24"/>
                <w:szCs w:val="24"/>
              </w:rPr>
              <w:t xml:space="preserve"> </w:t>
            </w:r>
          </w:p>
        </w:tc>
        <w:tc>
          <w:tcPr>
            <w:tcW w:w="4343" w:type="dxa"/>
            <w:shd w:val="clear" w:color="auto" w:fill="8EAADB" w:themeFill="accent1" w:themeFillTint="99"/>
          </w:tcPr>
          <w:p w14:paraId="45E735AC" w14:textId="0A6B7867" w:rsidR="00601CF5" w:rsidRPr="008160B0" w:rsidRDefault="00601CF5" w:rsidP="00601CF5">
            <w:pPr>
              <w:rPr>
                <w:rFonts w:asciiTheme="minorHAnsi" w:hAnsiTheme="minorHAnsi" w:cstheme="minorHAnsi"/>
                <w:b/>
                <w:bCs/>
                <w:color w:val="FFFFFF" w:themeColor="background1"/>
                <w:sz w:val="24"/>
                <w:szCs w:val="24"/>
              </w:rPr>
            </w:pPr>
            <w:r w:rsidRPr="008160B0">
              <w:rPr>
                <w:rFonts w:asciiTheme="minorHAnsi" w:hAnsiTheme="minorHAnsi" w:cstheme="minorHAnsi"/>
                <w:b/>
                <w:bCs/>
                <w:color w:val="FFFFFF" w:themeColor="background1"/>
                <w:sz w:val="24"/>
                <w:szCs w:val="24"/>
              </w:rPr>
              <w:t>Progress</w:t>
            </w:r>
            <w:r w:rsidR="00F23687" w:rsidRPr="008160B0">
              <w:rPr>
                <w:rFonts w:asciiTheme="minorHAnsi" w:hAnsiTheme="minorHAnsi" w:cstheme="minorHAnsi"/>
                <w:b/>
                <w:bCs/>
                <w:color w:val="FFFFFF" w:themeColor="background1"/>
                <w:sz w:val="24"/>
                <w:szCs w:val="24"/>
              </w:rPr>
              <w:t xml:space="preserve"> made by March 2024</w:t>
            </w:r>
            <w:r w:rsidRPr="008160B0">
              <w:rPr>
                <w:rFonts w:asciiTheme="minorHAnsi" w:hAnsiTheme="minorHAnsi" w:cstheme="minorHAnsi"/>
                <w:b/>
                <w:bCs/>
                <w:color w:val="FFFFFF" w:themeColor="background1"/>
                <w:sz w:val="24"/>
                <w:szCs w:val="24"/>
              </w:rPr>
              <w:t xml:space="preserve"> 2023-24</w:t>
            </w:r>
          </w:p>
        </w:tc>
      </w:tr>
      <w:tr w:rsidR="00601CF5" w:rsidRPr="00C44B9C" w14:paraId="6DE90C10" w14:textId="77777777" w:rsidTr="0070583F">
        <w:tc>
          <w:tcPr>
            <w:tcW w:w="4820" w:type="dxa"/>
          </w:tcPr>
          <w:p w14:paraId="5487F371" w14:textId="10229194" w:rsidR="00601CF5" w:rsidRPr="008160B0" w:rsidRDefault="00601CF5" w:rsidP="00601CF5">
            <w:pPr>
              <w:rPr>
                <w:rFonts w:asciiTheme="minorHAnsi" w:hAnsiTheme="minorHAnsi" w:cstheme="minorHAnsi"/>
                <w:sz w:val="24"/>
                <w:szCs w:val="24"/>
              </w:rPr>
            </w:pPr>
            <w:r w:rsidRPr="008160B0">
              <w:rPr>
                <w:rFonts w:asciiTheme="minorHAnsi" w:hAnsiTheme="minorHAnsi" w:cstheme="minorHAnsi"/>
                <w:b/>
                <w:bCs/>
                <w:sz w:val="24"/>
                <w:szCs w:val="24"/>
              </w:rPr>
              <w:t>Capacity Building:</w:t>
            </w:r>
            <w:r w:rsidRPr="008160B0">
              <w:rPr>
                <w:rFonts w:asciiTheme="minorHAnsi" w:hAnsiTheme="minorHAnsi" w:cstheme="minorHAnsi"/>
                <w:sz w:val="24"/>
                <w:szCs w:val="24"/>
              </w:rPr>
              <w:t xml:space="preserve"> Increase NHS Lothian’s rehabilitation capacity by at least 40% (20 places to 28 places) and detoxification capacity at the Ritson Clinic by at least 50% (8 beds to 12 beds)</w:t>
            </w:r>
          </w:p>
        </w:tc>
        <w:tc>
          <w:tcPr>
            <w:tcW w:w="4343" w:type="dxa"/>
          </w:tcPr>
          <w:p w14:paraId="19378840" w14:textId="05D80750" w:rsidR="00601CF5" w:rsidRPr="008160B0" w:rsidRDefault="00601CF5" w:rsidP="007C4084">
            <w:pPr>
              <w:rPr>
                <w:rFonts w:asciiTheme="minorHAnsi" w:hAnsiTheme="minorHAnsi" w:cstheme="minorHAnsi"/>
                <w:sz w:val="24"/>
                <w:szCs w:val="24"/>
              </w:rPr>
            </w:pPr>
            <w:r w:rsidRPr="008160B0">
              <w:rPr>
                <w:rFonts w:asciiTheme="minorHAnsi" w:hAnsiTheme="minorHAnsi" w:cstheme="minorHAnsi"/>
                <w:sz w:val="24"/>
                <w:szCs w:val="24"/>
              </w:rPr>
              <w:t>LEAP</w:t>
            </w:r>
            <w:r w:rsidR="00F23687" w:rsidRPr="008160B0">
              <w:rPr>
                <w:rFonts w:asciiTheme="minorHAnsi" w:hAnsiTheme="minorHAnsi" w:cstheme="minorHAnsi"/>
                <w:sz w:val="24"/>
                <w:szCs w:val="24"/>
              </w:rPr>
              <w:t>:</w:t>
            </w:r>
            <w:r w:rsidRPr="008160B0">
              <w:rPr>
                <w:rFonts w:asciiTheme="minorHAnsi" w:hAnsiTheme="minorHAnsi" w:cstheme="minorHAnsi"/>
                <w:sz w:val="24"/>
                <w:szCs w:val="24"/>
              </w:rPr>
              <w:t xml:space="preserve"> 28 treatment</w:t>
            </w:r>
            <w:r w:rsidR="00F23687" w:rsidRPr="008160B0">
              <w:rPr>
                <w:rFonts w:asciiTheme="minorHAnsi" w:hAnsiTheme="minorHAnsi" w:cstheme="minorHAnsi"/>
                <w:sz w:val="24"/>
                <w:szCs w:val="24"/>
              </w:rPr>
              <w:t xml:space="preserve"> places were </w:t>
            </w:r>
            <w:r w:rsidR="0070583F" w:rsidRPr="008160B0">
              <w:rPr>
                <w:rFonts w:asciiTheme="minorHAnsi" w:hAnsiTheme="minorHAnsi" w:cstheme="minorHAnsi"/>
                <w:sz w:val="24"/>
                <w:szCs w:val="24"/>
              </w:rPr>
              <w:t>available</w:t>
            </w:r>
            <w:r w:rsidR="00F23687" w:rsidRPr="008160B0">
              <w:rPr>
                <w:rFonts w:asciiTheme="minorHAnsi" w:hAnsiTheme="minorHAnsi" w:cstheme="minorHAnsi"/>
                <w:sz w:val="24"/>
                <w:szCs w:val="24"/>
              </w:rPr>
              <w:t xml:space="preserve"> </w:t>
            </w:r>
            <w:r w:rsidR="00BF4E15" w:rsidRPr="008160B0">
              <w:rPr>
                <w:rFonts w:asciiTheme="minorHAnsi" w:hAnsiTheme="minorHAnsi" w:cstheme="minorHAnsi"/>
                <w:sz w:val="24"/>
                <w:szCs w:val="24"/>
              </w:rPr>
              <w:t>from 04</w:t>
            </w:r>
            <w:r w:rsidRPr="008160B0">
              <w:rPr>
                <w:rFonts w:asciiTheme="minorHAnsi" w:hAnsiTheme="minorHAnsi" w:cstheme="minorHAnsi"/>
                <w:sz w:val="24"/>
                <w:szCs w:val="24"/>
              </w:rPr>
              <w:t>/07/</w:t>
            </w:r>
            <w:r w:rsidR="00F23687" w:rsidRPr="008160B0">
              <w:rPr>
                <w:rFonts w:asciiTheme="minorHAnsi" w:hAnsiTheme="minorHAnsi" w:cstheme="minorHAnsi"/>
                <w:sz w:val="24"/>
                <w:szCs w:val="24"/>
              </w:rPr>
              <w:t>24</w:t>
            </w:r>
          </w:p>
          <w:p w14:paraId="5FFC86F4" w14:textId="77777777" w:rsidR="0070583F" w:rsidRPr="008160B0" w:rsidRDefault="0070583F" w:rsidP="007C4084">
            <w:pPr>
              <w:rPr>
                <w:rFonts w:asciiTheme="minorHAnsi" w:hAnsiTheme="minorHAnsi" w:cstheme="minorHAnsi"/>
                <w:sz w:val="24"/>
                <w:szCs w:val="24"/>
              </w:rPr>
            </w:pPr>
          </w:p>
          <w:p w14:paraId="06B7EA4E" w14:textId="7EC08DA1" w:rsidR="00601CF5" w:rsidRPr="008160B0" w:rsidRDefault="00601CF5" w:rsidP="007C4084">
            <w:pPr>
              <w:rPr>
                <w:rFonts w:asciiTheme="minorHAnsi" w:hAnsiTheme="minorHAnsi" w:cstheme="minorHAnsi"/>
                <w:sz w:val="24"/>
                <w:szCs w:val="24"/>
              </w:rPr>
            </w:pPr>
            <w:r w:rsidRPr="008160B0">
              <w:rPr>
                <w:rFonts w:asciiTheme="minorHAnsi" w:hAnsiTheme="minorHAnsi" w:cstheme="minorHAnsi"/>
                <w:sz w:val="24"/>
                <w:szCs w:val="24"/>
              </w:rPr>
              <w:t>Ritson</w:t>
            </w:r>
            <w:r w:rsidR="00F23687" w:rsidRPr="008160B0">
              <w:rPr>
                <w:rFonts w:asciiTheme="minorHAnsi" w:hAnsiTheme="minorHAnsi" w:cstheme="minorHAnsi"/>
                <w:sz w:val="24"/>
                <w:szCs w:val="24"/>
              </w:rPr>
              <w:t>:</w:t>
            </w:r>
            <w:r w:rsidRPr="008160B0">
              <w:rPr>
                <w:rFonts w:asciiTheme="minorHAnsi" w:hAnsiTheme="minorHAnsi" w:cstheme="minorHAnsi"/>
                <w:sz w:val="24"/>
                <w:szCs w:val="24"/>
              </w:rPr>
              <w:t xml:space="preserve"> capacity has </w:t>
            </w:r>
            <w:r w:rsidR="00F23687" w:rsidRPr="008160B0">
              <w:rPr>
                <w:rFonts w:asciiTheme="minorHAnsi" w:hAnsiTheme="minorHAnsi" w:cstheme="minorHAnsi"/>
                <w:sz w:val="24"/>
                <w:szCs w:val="24"/>
              </w:rPr>
              <w:t xml:space="preserve">to </w:t>
            </w:r>
            <w:r w:rsidRPr="008160B0">
              <w:rPr>
                <w:rFonts w:asciiTheme="minorHAnsi" w:hAnsiTheme="minorHAnsi" w:cstheme="minorHAnsi"/>
                <w:sz w:val="24"/>
                <w:szCs w:val="24"/>
              </w:rPr>
              <w:t>12 Bed</w:t>
            </w:r>
            <w:r w:rsidR="00FD0DCE" w:rsidRPr="008160B0">
              <w:rPr>
                <w:rFonts w:asciiTheme="minorHAnsi" w:hAnsiTheme="minorHAnsi" w:cstheme="minorHAnsi"/>
                <w:sz w:val="24"/>
                <w:szCs w:val="24"/>
              </w:rPr>
              <w:t xml:space="preserve">, </w:t>
            </w:r>
            <w:r w:rsidRPr="008160B0">
              <w:rPr>
                <w:rFonts w:asciiTheme="minorHAnsi" w:hAnsiTheme="minorHAnsi" w:cstheme="minorHAnsi"/>
                <w:sz w:val="24"/>
                <w:szCs w:val="24"/>
              </w:rPr>
              <w:t xml:space="preserve">Ritson occupancy </w:t>
            </w:r>
            <w:r w:rsidR="00BF4E15" w:rsidRPr="008160B0">
              <w:rPr>
                <w:rFonts w:asciiTheme="minorHAnsi" w:hAnsiTheme="minorHAnsi" w:cstheme="minorHAnsi"/>
                <w:sz w:val="24"/>
                <w:szCs w:val="24"/>
              </w:rPr>
              <w:t>- average</w:t>
            </w:r>
            <w:r w:rsidRPr="008160B0">
              <w:rPr>
                <w:rFonts w:asciiTheme="minorHAnsi" w:hAnsiTheme="minorHAnsi" w:cstheme="minorHAnsi"/>
                <w:sz w:val="24"/>
                <w:szCs w:val="24"/>
              </w:rPr>
              <w:t xml:space="preserve"> of 65% </w:t>
            </w:r>
            <w:r w:rsidR="00BF4E15" w:rsidRPr="008160B0">
              <w:rPr>
                <w:rFonts w:asciiTheme="minorHAnsi" w:hAnsiTheme="minorHAnsi" w:cstheme="minorHAnsi"/>
                <w:sz w:val="24"/>
                <w:szCs w:val="24"/>
              </w:rPr>
              <w:t>i.e.</w:t>
            </w:r>
            <w:r w:rsidRPr="008160B0">
              <w:rPr>
                <w:rFonts w:asciiTheme="minorHAnsi" w:hAnsiTheme="minorHAnsi" w:cstheme="minorHAnsi"/>
                <w:sz w:val="24"/>
                <w:szCs w:val="24"/>
              </w:rPr>
              <w:t xml:space="preserve"> 8 to 9 patients</w:t>
            </w:r>
          </w:p>
          <w:p w14:paraId="1AF8D637" w14:textId="77777777" w:rsidR="0070583F" w:rsidRPr="008160B0" w:rsidRDefault="0070583F" w:rsidP="007C4084">
            <w:pPr>
              <w:rPr>
                <w:rFonts w:asciiTheme="minorHAnsi" w:hAnsiTheme="minorHAnsi" w:cstheme="minorHAnsi"/>
                <w:sz w:val="24"/>
                <w:szCs w:val="24"/>
              </w:rPr>
            </w:pPr>
          </w:p>
          <w:p w14:paraId="688ADE0A" w14:textId="67EE59C2" w:rsidR="00864715" w:rsidRPr="008160B0" w:rsidRDefault="00FF71BB" w:rsidP="00601CF5">
            <w:pPr>
              <w:rPr>
                <w:rFonts w:asciiTheme="minorHAnsi" w:hAnsiTheme="minorHAnsi" w:cstheme="minorHAnsi"/>
                <w:sz w:val="24"/>
                <w:szCs w:val="24"/>
              </w:rPr>
            </w:pPr>
            <w:r w:rsidRPr="008160B0">
              <w:rPr>
                <w:rFonts w:asciiTheme="minorHAnsi" w:hAnsiTheme="minorHAnsi" w:cstheme="minorHAnsi"/>
                <w:sz w:val="24"/>
                <w:szCs w:val="24"/>
              </w:rPr>
              <w:t xml:space="preserve">Additional residential capacity secured </w:t>
            </w:r>
            <w:r w:rsidR="00FD0DCE" w:rsidRPr="008160B0">
              <w:rPr>
                <w:rFonts w:asciiTheme="minorHAnsi" w:hAnsiTheme="minorHAnsi" w:cstheme="minorHAnsi"/>
                <w:sz w:val="24"/>
                <w:szCs w:val="24"/>
              </w:rPr>
              <w:t xml:space="preserve">via Cyrenians </w:t>
            </w:r>
          </w:p>
          <w:p w14:paraId="7E93246B" w14:textId="32A7F331" w:rsidR="0070583F" w:rsidRPr="008160B0" w:rsidRDefault="0070583F" w:rsidP="00601CF5">
            <w:pPr>
              <w:rPr>
                <w:rFonts w:asciiTheme="minorHAnsi" w:hAnsiTheme="minorHAnsi" w:cstheme="minorHAnsi"/>
                <w:sz w:val="24"/>
                <w:szCs w:val="24"/>
              </w:rPr>
            </w:pPr>
          </w:p>
        </w:tc>
      </w:tr>
      <w:tr w:rsidR="00601CF5" w:rsidRPr="00C44B9C" w14:paraId="1A05C3D3" w14:textId="77777777" w:rsidTr="0070583F">
        <w:tc>
          <w:tcPr>
            <w:tcW w:w="4820" w:type="dxa"/>
          </w:tcPr>
          <w:p w14:paraId="2C6F6F74" w14:textId="4A138AA2" w:rsidR="0070583F" w:rsidRPr="008160B0" w:rsidRDefault="00FF71BB" w:rsidP="004E26C3">
            <w:pPr>
              <w:rPr>
                <w:rFonts w:asciiTheme="minorHAnsi" w:hAnsiTheme="minorHAnsi" w:cstheme="minorHAnsi"/>
                <w:b/>
                <w:bCs/>
                <w:sz w:val="24"/>
                <w:szCs w:val="24"/>
              </w:rPr>
            </w:pPr>
            <w:r w:rsidRPr="008160B0">
              <w:rPr>
                <w:rFonts w:asciiTheme="minorHAnsi" w:hAnsiTheme="minorHAnsi" w:cstheme="minorHAnsi"/>
                <w:b/>
                <w:bCs/>
                <w:sz w:val="24"/>
                <w:szCs w:val="24"/>
              </w:rPr>
              <w:lastRenderedPageBreak/>
              <w:t>Improving access and pathways into rehab</w:t>
            </w:r>
          </w:p>
          <w:p w14:paraId="62A7473B" w14:textId="25D9B7DD" w:rsidR="00601CF5" w:rsidRPr="008160B0" w:rsidRDefault="00FF71BB" w:rsidP="004E26C3">
            <w:pPr>
              <w:rPr>
                <w:rFonts w:asciiTheme="minorHAnsi" w:hAnsiTheme="minorHAnsi" w:cstheme="minorHAnsi"/>
                <w:sz w:val="24"/>
                <w:szCs w:val="24"/>
              </w:rPr>
            </w:pPr>
            <w:r w:rsidRPr="008160B0">
              <w:rPr>
                <w:rFonts w:asciiTheme="minorHAnsi" w:hAnsiTheme="minorHAnsi" w:cstheme="minorHAnsi"/>
                <w:sz w:val="24"/>
                <w:szCs w:val="24"/>
              </w:rPr>
              <w:t>Develop pathways into LEAP and Ritson, including ensuring more equitable access, availability of places, reduced barriers/exclusions and addressing vulnerable individuals/those with greatest need).</w:t>
            </w:r>
          </w:p>
        </w:tc>
        <w:tc>
          <w:tcPr>
            <w:tcW w:w="4343" w:type="dxa"/>
          </w:tcPr>
          <w:p w14:paraId="6DD9F2BD" w14:textId="77777777" w:rsidR="0070583F" w:rsidRPr="008160B0" w:rsidRDefault="00FF71BB" w:rsidP="0070583F">
            <w:pPr>
              <w:rPr>
                <w:rFonts w:asciiTheme="minorHAnsi" w:hAnsiTheme="minorHAnsi" w:cstheme="minorHAnsi"/>
                <w:sz w:val="24"/>
                <w:szCs w:val="24"/>
              </w:rPr>
            </w:pPr>
            <w:r w:rsidRPr="008160B0">
              <w:rPr>
                <w:rFonts w:asciiTheme="minorHAnsi" w:hAnsiTheme="minorHAnsi" w:cstheme="minorHAnsi"/>
                <w:sz w:val="24"/>
                <w:szCs w:val="24"/>
              </w:rPr>
              <w:t>LEAP and Ritson referrals remain significantly in excess of the capacity available</w:t>
            </w:r>
            <w:r w:rsidR="0070583F" w:rsidRPr="008160B0">
              <w:rPr>
                <w:rFonts w:asciiTheme="minorHAnsi" w:hAnsiTheme="minorHAnsi" w:cstheme="minorHAnsi"/>
                <w:sz w:val="24"/>
                <w:szCs w:val="24"/>
              </w:rPr>
              <w:t>.</w:t>
            </w:r>
          </w:p>
          <w:p w14:paraId="71A93EAB" w14:textId="31FB6305" w:rsidR="0070583F" w:rsidRPr="008160B0" w:rsidRDefault="0070583F" w:rsidP="0070583F">
            <w:pPr>
              <w:ind w:firstLine="51"/>
              <w:rPr>
                <w:rFonts w:asciiTheme="minorHAnsi" w:hAnsiTheme="minorHAnsi" w:cstheme="minorHAnsi"/>
                <w:sz w:val="24"/>
                <w:szCs w:val="24"/>
              </w:rPr>
            </w:pPr>
          </w:p>
          <w:p w14:paraId="497E9295" w14:textId="11B58227" w:rsidR="00601CF5" w:rsidRPr="008160B0" w:rsidRDefault="00FF71BB" w:rsidP="0070583F">
            <w:pPr>
              <w:rPr>
                <w:rFonts w:asciiTheme="minorHAnsi" w:hAnsiTheme="minorHAnsi" w:cstheme="minorHAnsi"/>
                <w:sz w:val="24"/>
                <w:szCs w:val="24"/>
              </w:rPr>
            </w:pPr>
            <w:r w:rsidRPr="008160B0">
              <w:rPr>
                <w:rFonts w:asciiTheme="minorHAnsi" w:hAnsiTheme="minorHAnsi" w:cstheme="minorHAnsi"/>
                <w:sz w:val="24"/>
                <w:szCs w:val="24"/>
              </w:rPr>
              <w:t xml:space="preserve">Peer bridging workers have been employed and are improving the pathway into LEAP, removing </w:t>
            </w:r>
            <w:r w:rsidR="00BF4E15" w:rsidRPr="008160B0">
              <w:rPr>
                <w:rFonts w:asciiTheme="minorHAnsi" w:hAnsiTheme="minorHAnsi" w:cstheme="minorHAnsi"/>
                <w:sz w:val="24"/>
                <w:szCs w:val="24"/>
              </w:rPr>
              <w:t>barriers,</w:t>
            </w:r>
            <w:r w:rsidRPr="008160B0">
              <w:rPr>
                <w:rFonts w:asciiTheme="minorHAnsi" w:hAnsiTheme="minorHAnsi" w:cstheme="minorHAnsi"/>
                <w:sz w:val="24"/>
                <w:szCs w:val="24"/>
              </w:rPr>
              <w:t xml:space="preserve"> and providing more support to potential patients </w:t>
            </w:r>
          </w:p>
          <w:p w14:paraId="466489C2" w14:textId="5B2A473A" w:rsidR="0070583F" w:rsidRPr="008160B0" w:rsidRDefault="0070583F" w:rsidP="0070583F">
            <w:pPr>
              <w:rPr>
                <w:rFonts w:asciiTheme="minorHAnsi" w:hAnsiTheme="minorHAnsi" w:cstheme="minorHAnsi"/>
                <w:sz w:val="24"/>
                <w:szCs w:val="24"/>
              </w:rPr>
            </w:pPr>
          </w:p>
        </w:tc>
      </w:tr>
      <w:tr w:rsidR="00FF71BB" w:rsidRPr="00C44B9C" w14:paraId="7A83B74C" w14:textId="77777777" w:rsidTr="0070583F">
        <w:tc>
          <w:tcPr>
            <w:tcW w:w="4820" w:type="dxa"/>
          </w:tcPr>
          <w:p w14:paraId="50E67EE0" w14:textId="77777777" w:rsidR="0070583F" w:rsidRPr="008160B0" w:rsidRDefault="00FF71BB" w:rsidP="00FF71BB">
            <w:pPr>
              <w:rPr>
                <w:rFonts w:asciiTheme="minorHAnsi" w:hAnsiTheme="minorHAnsi" w:cstheme="minorHAnsi"/>
                <w:b/>
                <w:sz w:val="24"/>
                <w:szCs w:val="24"/>
              </w:rPr>
            </w:pPr>
            <w:r w:rsidRPr="008160B0">
              <w:rPr>
                <w:rFonts w:asciiTheme="minorHAnsi" w:hAnsiTheme="minorHAnsi" w:cstheme="minorHAnsi"/>
                <w:b/>
                <w:sz w:val="24"/>
                <w:szCs w:val="24"/>
              </w:rPr>
              <w:t>Improving aftercare and pathways out of rehab</w:t>
            </w:r>
          </w:p>
          <w:p w14:paraId="5065B4B6" w14:textId="5D423B36" w:rsidR="00FF71BB" w:rsidRPr="008160B0" w:rsidRDefault="00FF71BB" w:rsidP="00FF71BB">
            <w:pPr>
              <w:rPr>
                <w:rFonts w:asciiTheme="minorHAnsi" w:hAnsiTheme="minorHAnsi" w:cstheme="minorHAnsi"/>
                <w:sz w:val="24"/>
                <w:szCs w:val="24"/>
              </w:rPr>
            </w:pPr>
            <w:r w:rsidRPr="008160B0">
              <w:rPr>
                <w:rFonts w:asciiTheme="minorHAnsi" w:hAnsiTheme="minorHAnsi" w:cstheme="minorHAnsi"/>
                <w:b/>
                <w:sz w:val="24"/>
                <w:szCs w:val="24"/>
              </w:rPr>
              <w:t xml:space="preserve"> </w:t>
            </w:r>
            <w:r w:rsidRPr="008160B0">
              <w:rPr>
                <w:rFonts w:asciiTheme="minorHAnsi" w:hAnsiTheme="minorHAnsi" w:cstheme="minorHAnsi"/>
                <w:sz w:val="24"/>
                <w:szCs w:val="24"/>
              </w:rPr>
              <w:t>Develop and improve pathways out of LEAP and Ritson, including the development of aftercare services and links to recovery community resources.</w:t>
            </w:r>
          </w:p>
          <w:p w14:paraId="69C00DE3" w14:textId="77777777" w:rsidR="00FF71BB" w:rsidRPr="008160B0" w:rsidRDefault="00FF71BB" w:rsidP="00FF71BB">
            <w:pPr>
              <w:rPr>
                <w:rFonts w:asciiTheme="minorHAnsi" w:hAnsiTheme="minorHAnsi" w:cstheme="minorHAnsi"/>
                <w:sz w:val="24"/>
                <w:szCs w:val="24"/>
              </w:rPr>
            </w:pPr>
          </w:p>
        </w:tc>
        <w:tc>
          <w:tcPr>
            <w:tcW w:w="4343" w:type="dxa"/>
          </w:tcPr>
          <w:p w14:paraId="1AB73AE0" w14:textId="1AAA5DF7" w:rsidR="00FF71BB" w:rsidRPr="008160B0" w:rsidRDefault="0070583F" w:rsidP="0070583F">
            <w:pPr>
              <w:rPr>
                <w:rFonts w:asciiTheme="minorHAnsi" w:hAnsiTheme="minorHAnsi" w:cstheme="minorHAnsi"/>
                <w:sz w:val="24"/>
                <w:szCs w:val="24"/>
              </w:rPr>
            </w:pPr>
            <w:r w:rsidRPr="008160B0">
              <w:rPr>
                <w:rFonts w:asciiTheme="minorHAnsi" w:hAnsiTheme="minorHAnsi" w:cstheme="minorHAnsi"/>
                <w:sz w:val="24"/>
                <w:szCs w:val="24"/>
              </w:rPr>
              <w:t>LEAP Aftercare now supporting patients from ‘out of area’ treatment centres</w:t>
            </w:r>
            <w:r w:rsidR="00BF4E15" w:rsidRPr="008160B0">
              <w:rPr>
                <w:rFonts w:asciiTheme="minorHAnsi" w:hAnsiTheme="minorHAnsi" w:cstheme="minorHAnsi"/>
                <w:sz w:val="24"/>
                <w:szCs w:val="24"/>
              </w:rPr>
              <w:t xml:space="preserve">. </w:t>
            </w:r>
            <w:r w:rsidR="00FF71BB" w:rsidRPr="008160B0">
              <w:rPr>
                <w:rFonts w:asciiTheme="minorHAnsi" w:hAnsiTheme="minorHAnsi" w:cstheme="minorHAnsi"/>
                <w:sz w:val="24"/>
                <w:szCs w:val="24"/>
              </w:rPr>
              <w:t xml:space="preserve">Consistent number of increased </w:t>
            </w:r>
            <w:r w:rsidR="009A7BC5" w:rsidRPr="008160B0">
              <w:rPr>
                <w:rFonts w:asciiTheme="minorHAnsi" w:hAnsiTheme="minorHAnsi" w:cstheme="minorHAnsi"/>
                <w:sz w:val="24"/>
                <w:szCs w:val="24"/>
              </w:rPr>
              <w:t>a</w:t>
            </w:r>
            <w:r w:rsidR="00FF71BB" w:rsidRPr="008160B0">
              <w:rPr>
                <w:rFonts w:asciiTheme="minorHAnsi" w:hAnsiTheme="minorHAnsi" w:cstheme="minorHAnsi"/>
                <w:sz w:val="24"/>
                <w:szCs w:val="24"/>
              </w:rPr>
              <w:t>ftercare patients = 6</w:t>
            </w:r>
            <w:r w:rsidRPr="008160B0">
              <w:rPr>
                <w:rFonts w:asciiTheme="minorHAnsi" w:hAnsiTheme="minorHAnsi" w:cstheme="minorHAnsi"/>
                <w:sz w:val="24"/>
                <w:szCs w:val="24"/>
              </w:rPr>
              <w:t>0</w:t>
            </w:r>
          </w:p>
          <w:p w14:paraId="54F5EE57" w14:textId="77777777" w:rsidR="0070583F" w:rsidRPr="008160B0" w:rsidRDefault="0070583F" w:rsidP="0070583F">
            <w:pPr>
              <w:rPr>
                <w:rFonts w:asciiTheme="minorHAnsi" w:hAnsiTheme="minorHAnsi" w:cstheme="minorHAnsi"/>
                <w:sz w:val="24"/>
                <w:szCs w:val="24"/>
              </w:rPr>
            </w:pPr>
          </w:p>
          <w:p w14:paraId="52F54BC0" w14:textId="5B49C602" w:rsidR="0070583F" w:rsidRPr="008160B0" w:rsidRDefault="00FF71BB" w:rsidP="0070583F">
            <w:pPr>
              <w:rPr>
                <w:rFonts w:asciiTheme="minorHAnsi" w:hAnsiTheme="minorHAnsi" w:cstheme="minorHAnsi"/>
                <w:sz w:val="24"/>
                <w:szCs w:val="24"/>
              </w:rPr>
            </w:pPr>
            <w:r w:rsidRPr="008160B0">
              <w:rPr>
                <w:rFonts w:asciiTheme="minorHAnsi" w:hAnsiTheme="minorHAnsi" w:cstheme="minorHAnsi"/>
                <w:sz w:val="24"/>
                <w:szCs w:val="24"/>
              </w:rPr>
              <w:t>LEAP currently manages 7 Aftercare groups weekly</w:t>
            </w:r>
            <w:r w:rsidR="0070583F" w:rsidRPr="008160B0">
              <w:rPr>
                <w:rFonts w:asciiTheme="minorHAnsi" w:hAnsiTheme="minorHAnsi" w:cstheme="minorHAnsi"/>
                <w:sz w:val="24"/>
                <w:szCs w:val="24"/>
              </w:rPr>
              <w:t xml:space="preserve"> including the LEAP Solutions group </w:t>
            </w:r>
            <w:r w:rsidR="00BF4E15" w:rsidRPr="008160B0">
              <w:rPr>
                <w:rFonts w:asciiTheme="minorHAnsi" w:hAnsiTheme="minorHAnsi" w:cstheme="minorHAnsi"/>
                <w:sz w:val="24"/>
                <w:szCs w:val="24"/>
              </w:rPr>
              <w:t>established to</w:t>
            </w:r>
            <w:r w:rsidR="0070583F" w:rsidRPr="008160B0">
              <w:rPr>
                <w:rFonts w:asciiTheme="minorHAnsi" w:hAnsiTheme="minorHAnsi" w:cstheme="minorHAnsi"/>
                <w:sz w:val="24"/>
                <w:szCs w:val="24"/>
              </w:rPr>
              <w:t xml:space="preserve"> support patients who relapse, meeting weekly</w:t>
            </w:r>
          </w:p>
          <w:p w14:paraId="6C380667" w14:textId="77777777" w:rsidR="0070583F" w:rsidRPr="008160B0" w:rsidRDefault="0070583F" w:rsidP="0070583F">
            <w:pPr>
              <w:rPr>
                <w:rFonts w:asciiTheme="minorHAnsi" w:hAnsiTheme="minorHAnsi" w:cstheme="minorHAnsi"/>
                <w:sz w:val="24"/>
                <w:szCs w:val="24"/>
              </w:rPr>
            </w:pPr>
          </w:p>
          <w:p w14:paraId="503B0A81" w14:textId="79C81FBF" w:rsidR="000A262B" w:rsidRPr="008160B0" w:rsidRDefault="0070583F" w:rsidP="0070583F">
            <w:pPr>
              <w:rPr>
                <w:rFonts w:asciiTheme="minorHAnsi" w:hAnsiTheme="minorHAnsi" w:cstheme="minorHAnsi"/>
                <w:sz w:val="24"/>
                <w:szCs w:val="24"/>
              </w:rPr>
            </w:pPr>
            <w:r w:rsidRPr="008160B0">
              <w:rPr>
                <w:rFonts w:asciiTheme="minorHAnsi" w:hAnsiTheme="minorHAnsi" w:cstheme="minorHAnsi"/>
                <w:sz w:val="24"/>
                <w:szCs w:val="24"/>
              </w:rPr>
              <w:t>T</w:t>
            </w:r>
            <w:r w:rsidR="00FF71BB" w:rsidRPr="008160B0">
              <w:rPr>
                <w:rFonts w:asciiTheme="minorHAnsi" w:hAnsiTheme="minorHAnsi" w:cstheme="minorHAnsi"/>
                <w:sz w:val="24"/>
                <w:szCs w:val="24"/>
              </w:rPr>
              <w:t>he men</w:t>
            </w:r>
            <w:r w:rsidR="000A262B" w:rsidRPr="008160B0">
              <w:rPr>
                <w:rFonts w:asciiTheme="minorHAnsi" w:hAnsiTheme="minorHAnsi" w:cstheme="minorHAnsi"/>
                <w:sz w:val="24"/>
                <w:szCs w:val="24"/>
              </w:rPr>
              <w:t>’</w:t>
            </w:r>
            <w:r w:rsidR="00FF71BB" w:rsidRPr="008160B0">
              <w:rPr>
                <w:rFonts w:asciiTheme="minorHAnsi" w:hAnsiTheme="minorHAnsi" w:cstheme="minorHAnsi"/>
                <w:sz w:val="24"/>
                <w:szCs w:val="24"/>
              </w:rPr>
              <w:t>s house is a post treatment supported accommodation unit for homeless Edinburgh men</w:t>
            </w:r>
            <w:r w:rsidR="00BF4E15" w:rsidRPr="008160B0">
              <w:rPr>
                <w:rFonts w:asciiTheme="minorHAnsi" w:hAnsiTheme="minorHAnsi" w:cstheme="minorHAnsi"/>
                <w:sz w:val="24"/>
                <w:szCs w:val="24"/>
              </w:rPr>
              <w:t xml:space="preserve">. </w:t>
            </w:r>
            <w:r w:rsidR="00FF71BB" w:rsidRPr="008160B0">
              <w:rPr>
                <w:rFonts w:asciiTheme="minorHAnsi" w:hAnsiTheme="minorHAnsi" w:cstheme="minorHAnsi"/>
                <w:sz w:val="24"/>
                <w:szCs w:val="24"/>
              </w:rPr>
              <w:t>Corra funding for Women</w:t>
            </w:r>
            <w:r w:rsidR="000A262B" w:rsidRPr="008160B0">
              <w:rPr>
                <w:rFonts w:asciiTheme="minorHAnsi" w:hAnsiTheme="minorHAnsi" w:cstheme="minorHAnsi"/>
                <w:sz w:val="24"/>
                <w:szCs w:val="24"/>
              </w:rPr>
              <w:t>’</w:t>
            </w:r>
            <w:r w:rsidR="00FF71BB" w:rsidRPr="008160B0">
              <w:rPr>
                <w:rFonts w:asciiTheme="minorHAnsi" w:hAnsiTheme="minorHAnsi" w:cstheme="minorHAnsi"/>
                <w:sz w:val="24"/>
                <w:szCs w:val="24"/>
              </w:rPr>
              <w:t xml:space="preserve">s House was </w:t>
            </w:r>
            <w:r w:rsidR="00BF4E15" w:rsidRPr="008160B0">
              <w:rPr>
                <w:rFonts w:asciiTheme="minorHAnsi" w:hAnsiTheme="minorHAnsi" w:cstheme="minorHAnsi"/>
                <w:sz w:val="24"/>
                <w:szCs w:val="24"/>
              </w:rPr>
              <w:t>successful with</w:t>
            </w:r>
            <w:r w:rsidR="00FF71BB" w:rsidRPr="008160B0">
              <w:rPr>
                <w:rFonts w:asciiTheme="minorHAnsi" w:hAnsiTheme="minorHAnsi" w:cstheme="minorHAnsi"/>
                <w:sz w:val="24"/>
                <w:szCs w:val="24"/>
              </w:rPr>
              <w:t xml:space="preserve"> plans underway by Cyrenians</w:t>
            </w:r>
          </w:p>
          <w:p w14:paraId="16AF892E" w14:textId="77777777" w:rsidR="0070583F" w:rsidRPr="008160B0" w:rsidRDefault="0070583F" w:rsidP="0070583F">
            <w:pPr>
              <w:rPr>
                <w:rFonts w:asciiTheme="minorHAnsi" w:hAnsiTheme="minorHAnsi" w:cstheme="minorHAnsi"/>
                <w:sz w:val="24"/>
                <w:szCs w:val="24"/>
              </w:rPr>
            </w:pPr>
          </w:p>
          <w:p w14:paraId="31958B08" w14:textId="77777777" w:rsidR="00FF71BB" w:rsidRPr="008160B0" w:rsidRDefault="00FF71BB" w:rsidP="0070583F">
            <w:pPr>
              <w:rPr>
                <w:rFonts w:asciiTheme="minorHAnsi" w:hAnsiTheme="minorHAnsi" w:cstheme="minorHAnsi"/>
                <w:sz w:val="24"/>
                <w:szCs w:val="24"/>
              </w:rPr>
            </w:pPr>
            <w:r w:rsidRPr="008160B0">
              <w:rPr>
                <w:rFonts w:asciiTheme="minorHAnsi" w:hAnsiTheme="minorHAnsi" w:cstheme="minorHAnsi"/>
                <w:sz w:val="24"/>
                <w:szCs w:val="24"/>
              </w:rPr>
              <w:t xml:space="preserve">Partnership with Access to Industry ensures education and prevocational training to </w:t>
            </w:r>
            <w:r w:rsidR="000A262B" w:rsidRPr="008160B0">
              <w:rPr>
                <w:rFonts w:asciiTheme="minorHAnsi" w:hAnsiTheme="minorHAnsi" w:cstheme="minorHAnsi"/>
                <w:sz w:val="24"/>
                <w:szCs w:val="24"/>
              </w:rPr>
              <w:t xml:space="preserve">all </w:t>
            </w:r>
            <w:r w:rsidRPr="008160B0">
              <w:rPr>
                <w:rFonts w:asciiTheme="minorHAnsi" w:hAnsiTheme="minorHAnsi" w:cstheme="minorHAnsi"/>
                <w:sz w:val="24"/>
                <w:szCs w:val="24"/>
              </w:rPr>
              <w:t>patients</w:t>
            </w:r>
          </w:p>
          <w:p w14:paraId="07E1BFB2" w14:textId="0C64EB9C" w:rsidR="0070583F" w:rsidRPr="008160B0" w:rsidRDefault="0070583F" w:rsidP="0070583F">
            <w:pPr>
              <w:rPr>
                <w:rFonts w:asciiTheme="minorHAnsi" w:hAnsiTheme="minorHAnsi" w:cstheme="minorHAnsi"/>
                <w:sz w:val="24"/>
                <w:szCs w:val="24"/>
              </w:rPr>
            </w:pPr>
          </w:p>
        </w:tc>
      </w:tr>
      <w:tr w:rsidR="00FF71BB" w:rsidRPr="00C44B9C" w14:paraId="56D52496" w14:textId="77777777" w:rsidTr="0070583F">
        <w:tc>
          <w:tcPr>
            <w:tcW w:w="4820" w:type="dxa"/>
          </w:tcPr>
          <w:p w14:paraId="33AE8BED" w14:textId="77777777" w:rsidR="0070583F" w:rsidRPr="008160B0" w:rsidRDefault="00FF71BB" w:rsidP="00FF71BB">
            <w:pPr>
              <w:rPr>
                <w:rFonts w:asciiTheme="minorHAnsi" w:hAnsiTheme="minorHAnsi" w:cstheme="minorHAnsi"/>
                <w:b/>
                <w:sz w:val="24"/>
                <w:szCs w:val="24"/>
              </w:rPr>
            </w:pPr>
            <w:r w:rsidRPr="008160B0">
              <w:rPr>
                <w:rFonts w:asciiTheme="minorHAnsi" w:hAnsiTheme="minorHAnsi" w:cstheme="minorHAnsi"/>
                <w:b/>
                <w:sz w:val="24"/>
                <w:szCs w:val="24"/>
              </w:rPr>
              <w:t>Effective monitoring and evaluation</w:t>
            </w:r>
          </w:p>
          <w:p w14:paraId="1C8FB36D" w14:textId="1F5FA7A1" w:rsidR="00FF71BB" w:rsidRPr="008160B0" w:rsidRDefault="00FF71BB" w:rsidP="00FF71BB">
            <w:pPr>
              <w:rPr>
                <w:rFonts w:asciiTheme="minorHAnsi" w:hAnsiTheme="minorHAnsi" w:cstheme="minorHAnsi"/>
                <w:sz w:val="24"/>
                <w:szCs w:val="24"/>
              </w:rPr>
            </w:pPr>
            <w:r w:rsidRPr="008160B0">
              <w:rPr>
                <w:rFonts w:asciiTheme="minorHAnsi" w:hAnsiTheme="minorHAnsi" w:cstheme="minorHAnsi"/>
                <w:sz w:val="24"/>
                <w:szCs w:val="24"/>
              </w:rPr>
              <w:t>Build and improve the evidence-base for LEAP and Ritson and act as a model for other regional residential services</w:t>
            </w:r>
          </w:p>
        </w:tc>
        <w:tc>
          <w:tcPr>
            <w:tcW w:w="4343" w:type="dxa"/>
          </w:tcPr>
          <w:p w14:paraId="4FE31CD0" w14:textId="0D149A43" w:rsidR="00FF71BB" w:rsidRPr="008160B0" w:rsidRDefault="00FF71BB" w:rsidP="0070583F">
            <w:pPr>
              <w:rPr>
                <w:rFonts w:asciiTheme="minorHAnsi" w:hAnsiTheme="minorHAnsi" w:cstheme="minorHAnsi"/>
                <w:sz w:val="24"/>
                <w:szCs w:val="24"/>
              </w:rPr>
            </w:pPr>
            <w:r w:rsidRPr="008160B0">
              <w:rPr>
                <w:rFonts w:asciiTheme="minorHAnsi" w:hAnsiTheme="minorHAnsi" w:cstheme="minorHAnsi"/>
                <w:sz w:val="24"/>
                <w:szCs w:val="24"/>
              </w:rPr>
              <w:t>LEAP has</w:t>
            </w:r>
            <w:r w:rsidR="00EB4472" w:rsidRPr="008160B0">
              <w:rPr>
                <w:rFonts w:asciiTheme="minorHAnsi" w:hAnsiTheme="minorHAnsi" w:cstheme="minorHAnsi"/>
                <w:sz w:val="24"/>
                <w:szCs w:val="24"/>
              </w:rPr>
              <w:t xml:space="preserve"> further </w:t>
            </w:r>
            <w:r w:rsidRPr="008160B0">
              <w:rPr>
                <w:rFonts w:asciiTheme="minorHAnsi" w:hAnsiTheme="minorHAnsi" w:cstheme="minorHAnsi"/>
                <w:sz w:val="24"/>
                <w:szCs w:val="24"/>
              </w:rPr>
              <w:t xml:space="preserve">developed </w:t>
            </w:r>
            <w:r w:rsidR="00EB4472" w:rsidRPr="008160B0">
              <w:rPr>
                <w:rFonts w:asciiTheme="minorHAnsi" w:hAnsiTheme="minorHAnsi" w:cstheme="minorHAnsi"/>
                <w:sz w:val="24"/>
                <w:szCs w:val="24"/>
              </w:rPr>
              <w:t xml:space="preserve">its </w:t>
            </w:r>
            <w:r w:rsidRPr="008160B0">
              <w:rPr>
                <w:rFonts w:asciiTheme="minorHAnsi" w:hAnsiTheme="minorHAnsi" w:cstheme="minorHAnsi"/>
                <w:sz w:val="24"/>
                <w:szCs w:val="24"/>
              </w:rPr>
              <w:t xml:space="preserve">Framework of </w:t>
            </w:r>
            <w:r w:rsidR="0070583F" w:rsidRPr="008160B0">
              <w:rPr>
                <w:rFonts w:asciiTheme="minorHAnsi" w:hAnsiTheme="minorHAnsi" w:cstheme="minorHAnsi"/>
                <w:sz w:val="24"/>
                <w:szCs w:val="24"/>
              </w:rPr>
              <w:t>Evidence</w:t>
            </w:r>
            <w:r w:rsidRPr="008160B0">
              <w:rPr>
                <w:rFonts w:asciiTheme="minorHAnsi" w:hAnsiTheme="minorHAnsi" w:cstheme="minorHAnsi"/>
                <w:sz w:val="24"/>
                <w:szCs w:val="24"/>
              </w:rPr>
              <w:t xml:space="preserve"> gathering</w:t>
            </w:r>
            <w:r w:rsidR="00EB4472" w:rsidRPr="008160B0">
              <w:rPr>
                <w:rFonts w:asciiTheme="minorHAnsi" w:hAnsiTheme="minorHAnsi" w:cstheme="minorHAnsi"/>
                <w:sz w:val="24"/>
                <w:szCs w:val="24"/>
              </w:rPr>
              <w:t xml:space="preserve"> and </w:t>
            </w:r>
            <w:r w:rsidR="0070583F" w:rsidRPr="008160B0">
              <w:rPr>
                <w:rFonts w:asciiTheme="minorHAnsi" w:hAnsiTheme="minorHAnsi" w:cstheme="minorHAnsi"/>
                <w:sz w:val="24"/>
                <w:szCs w:val="24"/>
              </w:rPr>
              <w:t>is considered as a model</w:t>
            </w:r>
            <w:r w:rsidR="00EB4472" w:rsidRPr="008160B0">
              <w:rPr>
                <w:rFonts w:asciiTheme="minorHAnsi" w:hAnsiTheme="minorHAnsi" w:cstheme="minorHAnsi"/>
                <w:sz w:val="24"/>
                <w:szCs w:val="24"/>
              </w:rPr>
              <w:t xml:space="preserve"> of best national practice in demonstrating its impact. </w:t>
            </w:r>
          </w:p>
        </w:tc>
      </w:tr>
    </w:tbl>
    <w:p w14:paraId="718A0565" w14:textId="77777777" w:rsidR="00864715" w:rsidRDefault="00864715" w:rsidP="0070583F">
      <w:pPr>
        <w:rPr>
          <w:rFonts w:cstheme="minorHAnsi"/>
          <w:b/>
          <w:bCs/>
          <w:color w:val="0070C0"/>
          <w:sz w:val="24"/>
          <w:szCs w:val="24"/>
        </w:rPr>
      </w:pPr>
      <w:bookmarkStart w:id="26" w:name="_Toc106377044"/>
    </w:p>
    <w:p w14:paraId="0CD2FABD" w14:textId="16024E7E" w:rsidR="00D60542" w:rsidRPr="00864715" w:rsidRDefault="034AAF71" w:rsidP="0070583F">
      <w:pPr>
        <w:rPr>
          <w:rFonts w:cstheme="minorHAnsi"/>
          <w:b/>
          <w:bCs/>
          <w:color w:val="0070C0"/>
          <w:sz w:val="28"/>
          <w:szCs w:val="28"/>
        </w:rPr>
      </w:pPr>
      <w:r w:rsidRPr="00864715">
        <w:rPr>
          <w:rFonts w:cstheme="minorHAnsi"/>
          <w:b/>
          <w:bCs/>
          <w:color w:val="0070C0"/>
          <w:sz w:val="28"/>
          <w:szCs w:val="28"/>
        </w:rPr>
        <w:t>Visible recovery: Recovery community activity and peer support</w:t>
      </w:r>
      <w:bookmarkEnd w:id="26"/>
      <w:r w:rsidRPr="00864715">
        <w:rPr>
          <w:rFonts w:cstheme="minorHAnsi"/>
          <w:b/>
          <w:bCs/>
          <w:color w:val="0070C0"/>
          <w:sz w:val="28"/>
          <w:szCs w:val="28"/>
        </w:rPr>
        <w:t xml:space="preserve">   </w:t>
      </w:r>
    </w:p>
    <w:p w14:paraId="7ABD8326" w14:textId="5B37C021" w:rsidR="00D60542" w:rsidRPr="00C44B9C" w:rsidRDefault="00EC68B9" w:rsidP="00D60542">
      <w:pPr>
        <w:pStyle w:val="Heading2"/>
        <w:rPr>
          <w:rFonts w:asciiTheme="minorHAnsi" w:hAnsiTheme="minorHAnsi" w:cstheme="minorHAnsi"/>
          <w:sz w:val="24"/>
          <w:szCs w:val="24"/>
        </w:rPr>
      </w:pPr>
      <w:bookmarkStart w:id="27" w:name="_Toc174006754"/>
      <w:r>
        <w:rPr>
          <w:rFonts w:asciiTheme="minorHAnsi" w:hAnsiTheme="minorHAnsi" w:cstheme="minorHAnsi"/>
          <w:sz w:val="24"/>
          <w:szCs w:val="24"/>
        </w:rPr>
        <w:t>44.</w:t>
      </w:r>
      <w:r>
        <w:rPr>
          <w:rFonts w:asciiTheme="minorHAnsi" w:hAnsiTheme="minorHAnsi" w:cstheme="minorHAnsi"/>
          <w:sz w:val="24"/>
          <w:szCs w:val="24"/>
        </w:rPr>
        <w:tab/>
      </w:r>
      <w:r w:rsidR="00D60542" w:rsidRPr="00EC68B9">
        <w:rPr>
          <w:rFonts w:asciiTheme="minorHAnsi" w:hAnsiTheme="minorHAnsi" w:cstheme="minorHAnsi"/>
          <w:b/>
          <w:bCs/>
          <w:sz w:val="24"/>
          <w:szCs w:val="24"/>
        </w:rPr>
        <w:t>Community development - Reducing Isolation</w:t>
      </w:r>
      <w:bookmarkEnd w:id="27"/>
    </w:p>
    <w:p w14:paraId="266B521A" w14:textId="238C5BDD" w:rsidR="00EC68B9" w:rsidRDefault="00D60542" w:rsidP="00EC68B9">
      <w:pPr>
        <w:ind w:left="720"/>
        <w:rPr>
          <w:rFonts w:eastAsia="Arial" w:cstheme="minorHAnsi"/>
          <w:sz w:val="24"/>
          <w:szCs w:val="24"/>
        </w:rPr>
      </w:pPr>
      <w:r w:rsidRPr="00C44B9C">
        <w:rPr>
          <w:rFonts w:eastAsia="Arial" w:cstheme="minorHAnsi"/>
          <w:sz w:val="24"/>
          <w:szCs w:val="24"/>
        </w:rPr>
        <w:t>The EADP/ IJB Community Development Innovation Fund was launched in 2019</w:t>
      </w:r>
      <w:r w:rsidR="00BF4E15" w:rsidRPr="00C44B9C">
        <w:rPr>
          <w:rFonts w:eastAsia="Arial" w:cstheme="minorHAnsi"/>
          <w:sz w:val="24"/>
          <w:szCs w:val="24"/>
        </w:rPr>
        <w:t xml:space="preserve">. </w:t>
      </w:r>
      <w:r w:rsidRPr="00C44B9C">
        <w:rPr>
          <w:rFonts w:eastAsia="Arial" w:cstheme="minorHAnsi"/>
          <w:sz w:val="24"/>
          <w:szCs w:val="24"/>
        </w:rPr>
        <w:t xml:space="preserve">It provides a programme of individual grants to </w:t>
      </w:r>
      <w:r w:rsidRPr="00EC68B9">
        <w:rPr>
          <w:rFonts w:eastAsia="Arial" w:cstheme="minorHAnsi"/>
          <w:sz w:val="24"/>
          <w:szCs w:val="24"/>
        </w:rPr>
        <w:t>reduce isolation for high risk drug and alcohol users by providing access to meaningful activity and social engagement, especially for those in medication assisted recovery and those who are not seeking abstinence.</w:t>
      </w:r>
    </w:p>
    <w:p w14:paraId="535D3A05" w14:textId="526080BD" w:rsidR="00D60542" w:rsidRPr="00C44B9C" w:rsidRDefault="00D60542" w:rsidP="00EC68B9">
      <w:pPr>
        <w:ind w:left="720"/>
        <w:rPr>
          <w:rFonts w:eastAsia="Arial" w:cstheme="minorHAnsi"/>
          <w:sz w:val="24"/>
          <w:szCs w:val="24"/>
        </w:rPr>
      </w:pPr>
      <w:r w:rsidRPr="00EC68B9">
        <w:rPr>
          <w:rFonts w:eastAsia="Arial" w:cstheme="minorHAnsi"/>
          <w:sz w:val="24"/>
          <w:szCs w:val="24"/>
        </w:rPr>
        <w:t xml:space="preserve"> </w:t>
      </w:r>
      <w:r w:rsidRPr="00C44B9C">
        <w:rPr>
          <w:rFonts w:eastAsia="Arial" w:cstheme="minorHAnsi"/>
          <w:sz w:val="24"/>
          <w:szCs w:val="24"/>
        </w:rPr>
        <w:t xml:space="preserve">The aim was to encourage a wide range of small projects, each embedded in a particular community and responding to its needs. In 2022-23, a second round of </w:t>
      </w:r>
      <w:r w:rsidRPr="00C44B9C">
        <w:rPr>
          <w:rFonts w:eastAsia="Arial" w:cstheme="minorHAnsi"/>
          <w:sz w:val="24"/>
          <w:szCs w:val="24"/>
        </w:rPr>
        <w:lastRenderedPageBreak/>
        <w:t xml:space="preserve">grant giving was completed, with an annual budget of £240k per annum for 2 years and grants were awarded to 10 valuable projects across the city which have continued to </w:t>
      </w:r>
      <w:r w:rsidR="00EC68B9">
        <w:rPr>
          <w:rFonts w:eastAsia="Arial" w:cstheme="minorHAnsi"/>
          <w:sz w:val="24"/>
          <w:szCs w:val="24"/>
        </w:rPr>
        <w:t>deliver</w:t>
      </w:r>
      <w:r w:rsidRPr="00C44B9C">
        <w:rPr>
          <w:rFonts w:eastAsia="Arial" w:cstheme="minorHAnsi"/>
          <w:sz w:val="24"/>
          <w:szCs w:val="24"/>
        </w:rPr>
        <w:t xml:space="preserve"> in 2023-24.</w:t>
      </w:r>
    </w:p>
    <w:p w14:paraId="1209318C" w14:textId="3093AFF3" w:rsidR="004A34B5" w:rsidRPr="00C44B9C" w:rsidRDefault="00EC68B9" w:rsidP="00EC68B9">
      <w:pPr>
        <w:ind w:left="720" w:hanging="720"/>
        <w:rPr>
          <w:rFonts w:cstheme="minorHAnsi"/>
          <w:sz w:val="24"/>
          <w:szCs w:val="24"/>
        </w:rPr>
      </w:pPr>
      <w:r>
        <w:rPr>
          <w:rFonts w:cstheme="minorHAnsi"/>
          <w:sz w:val="24"/>
          <w:szCs w:val="24"/>
        </w:rPr>
        <w:t>45.</w:t>
      </w:r>
      <w:r>
        <w:rPr>
          <w:rFonts w:cstheme="minorHAnsi"/>
          <w:sz w:val="24"/>
          <w:szCs w:val="24"/>
        </w:rPr>
        <w:tab/>
      </w:r>
      <w:r w:rsidR="004A34B5" w:rsidRPr="00EC68B9">
        <w:rPr>
          <w:rFonts w:cstheme="minorHAnsi"/>
          <w:b/>
          <w:bCs/>
          <w:sz w:val="24"/>
          <w:szCs w:val="24"/>
        </w:rPr>
        <w:t xml:space="preserve">Mutual Aid </w:t>
      </w:r>
      <w:r w:rsidRPr="00EC68B9">
        <w:rPr>
          <w:rFonts w:cstheme="minorHAnsi"/>
          <w:b/>
          <w:bCs/>
          <w:sz w:val="24"/>
          <w:szCs w:val="24"/>
        </w:rPr>
        <w:t>activity</w:t>
      </w:r>
      <w:r w:rsidRPr="00C44B9C">
        <w:rPr>
          <w:rFonts w:cstheme="minorHAnsi"/>
          <w:sz w:val="24"/>
          <w:szCs w:val="24"/>
        </w:rPr>
        <w:t xml:space="preserve"> </w:t>
      </w:r>
      <w:r>
        <w:rPr>
          <w:rFonts w:cstheme="minorHAnsi"/>
          <w:sz w:val="24"/>
          <w:szCs w:val="24"/>
        </w:rPr>
        <w:t xml:space="preserve">which </w:t>
      </w:r>
      <w:r w:rsidR="004A34B5" w:rsidRPr="00C44B9C">
        <w:rPr>
          <w:rFonts w:cstheme="minorHAnsi"/>
          <w:sz w:val="24"/>
          <w:szCs w:val="24"/>
        </w:rPr>
        <w:t xml:space="preserve">organised and informal support of one person in recovery to another remains the largest source of support for those in recovery from addiction in Edinburgh. Professional services continue to </w:t>
      </w:r>
      <w:r>
        <w:rPr>
          <w:rFonts w:cstheme="minorHAnsi"/>
          <w:sz w:val="24"/>
          <w:szCs w:val="24"/>
        </w:rPr>
        <w:t xml:space="preserve">encourage </w:t>
      </w:r>
      <w:r w:rsidR="004A34B5" w:rsidRPr="00C44B9C">
        <w:rPr>
          <w:rFonts w:cstheme="minorHAnsi"/>
          <w:sz w:val="24"/>
          <w:szCs w:val="24"/>
        </w:rPr>
        <w:t xml:space="preserve">people </w:t>
      </w:r>
      <w:r>
        <w:rPr>
          <w:rFonts w:cstheme="minorHAnsi"/>
          <w:sz w:val="24"/>
          <w:szCs w:val="24"/>
        </w:rPr>
        <w:t xml:space="preserve">to engage </w:t>
      </w:r>
      <w:r w:rsidR="004A34B5" w:rsidRPr="00C44B9C">
        <w:rPr>
          <w:rFonts w:cstheme="minorHAnsi"/>
          <w:sz w:val="24"/>
          <w:szCs w:val="24"/>
        </w:rPr>
        <w:t>with this unique source of experience, strength, and hope where possible</w:t>
      </w:r>
    </w:p>
    <w:p w14:paraId="53CBF523" w14:textId="6F1D22E9" w:rsidR="004A34B5" w:rsidRPr="00C44B9C" w:rsidRDefault="00EC68B9" w:rsidP="00EC68B9">
      <w:pPr>
        <w:ind w:left="720" w:hanging="720"/>
        <w:rPr>
          <w:rFonts w:cstheme="minorHAnsi"/>
          <w:sz w:val="24"/>
          <w:szCs w:val="24"/>
        </w:rPr>
      </w:pPr>
      <w:r>
        <w:rPr>
          <w:rFonts w:cstheme="minorHAnsi"/>
          <w:sz w:val="24"/>
          <w:szCs w:val="24"/>
        </w:rPr>
        <w:t>46.</w:t>
      </w:r>
      <w:r>
        <w:rPr>
          <w:rFonts w:cstheme="minorHAnsi"/>
          <w:sz w:val="24"/>
          <w:szCs w:val="24"/>
        </w:rPr>
        <w:tab/>
      </w:r>
      <w:r w:rsidR="004A34B5" w:rsidRPr="00C44B9C">
        <w:rPr>
          <w:rFonts w:cstheme="minorHAnsi"/>
          <w:sz w:val="24"/>
          <w:szCs w:val="24"/>
        </w:rPr>
        <w:t>The EADP developed guidance on</w:t>
      </w:r>
      <w:r>
        <w:rPr>
          <w:rFonts w:cstheme="minorHAnsi"/>
          <w:sz w:val="24"/>
          <w:szCs w:val="24"/>
        </w:rPr>
        <w:t xml:space="preserve"> employing people </w:t>
      </w:r>
      <w:r w:rsidRPr="00C44B9C">
        <w:rPr>
          <w:rFonts w:cstheme="minorHAnsi"/>
          <w:sz w:val="24"/>
          <w:szCs w:val="24"/>
        </w:rPr>
        <w:t>role</w:t>
      </w:r>
      <w:r w:rsidR="004A34B5" w:rsidRPr="00C44B9C">
        <w:rPr>
          <w:rFonts w:cstheme="minorHAnsi"/>
          <w:sz w:val="24"/>
          <w:szCs w:val="24"/>
        </w:rPr>
        <w:t xml:space="preserve"> of people with lived experience of substance use and recovery </w:t>
      </w:r>
      <w:r>
        <w:rPr>
          <w:rFonts w:cstheme="minorHAnsi"/>
          <w:sz w:val="24"/>
          <w:szCs w:val="24"/>
        </w:rPr>
        <w:t>as part of the workforce back in 2013</w:t>
      </w:r>
      <w:r w:rsidR="00BF4E15">
        <w:rPr>
          <w:rFonts w:cstheme="minorHAnsi"/>
          <w:sz w:val="24"/>
          <w:szCs w:val="24"/>
        </w:rPr>
        <w:t xml:space="preserve">. </w:t>
      </w:r>
      <w:r w:rsidR="004A34B5" w:rsidRPr="00C44B9C">
        <w:rPr>
          <w:rFonts w:cstheme="minorHAnsi"/>
          <w:sz w:val="24"/>
          <w:szCs w:val="24"/>
        </w:rPr>
        <w:t xml:space="preserve">2013. There is now a substantial body of people with lived experience working in the system of care. Some openly share with others the experience, </w:t>
      </w:r>
      <w:r w:rsidRPr="00C44B9C">
        <w:rPr>
          <w:rFonts w:cstheme="minorHAnsi"/>
          <w:sz w:val="24"/>
          <w:szCs w:val="24"/>
        </w:rPr>
        <w:t>strength,</w:t>
      </w:r>
      <w:r w:rsidR="004A34B5" w:rsidRPr="00C44B9C">
        <w:rPr>
          <w:rFonts w:cstheme="minorHAnsi"/>
          <w:sz w:val="24"/>
          <w:szCs w:val="24"/>
        </w:rPr>
        <w:t xml:space="preserve"> and hope that their recovery has given them. Others do not routinely </w:t>
      </w:r>
      <w:r>
        <w:rPr>
          <w:rFonts w:cstheme="minorHAnsi"/>
          <w:sz w:val="24"/>
          <w:szCs w:val="24"/>
        </w:rPr>
        <w:t>share</w:t>
      </w:r>
      <w:r w:rsidR="004A34B5" w:rsidRPr="00C44B9C">
        <w:rPr>
          <w:rFonts w:cstheme="minorHAnsi"/>
          <w:sz w:val="24"/>
          <w:szCs w:val="24"/>
        </w:rPr>
        <w:t xml:space="preserve">, but their practice is shaped and inspired by it. This presence has grown substantially over the last decade and is of incalculable value in influencing change in frontline practice. Most of the workers in LEAP, in </w:t>
      </w:r>
      <w:r>
        <w:rPr>
          <w:rFonts w:cstheme="minorHAnsi"/>
          <w:sz w:val="24"/>
          <w:szCs w:val="24"/>
        </w:rPr>
        <w:t>Edinburgh Recovery Activities (</w:t>
      </w:r>
      <w:r w:rsidR="004A34B5" w:rsidRPr="00C44B9C">
        <w:rPr>
          <w:rFonts w:cstheme="minorHAnsi"/>
          <w:sz w:val="24"/>
          <w:szCs w:val="24"/>
        </w:rPr>
        <w:t>ERA</w:t>
      </w:r>
      <w:r>
        <w:rPr>
          <w:rFonts w:cstheme="minorHAnsi"/>
          <w:sz w:val="24"/>
          <w:szCs w:val="24"/>
        </w:rPr>
        <w:t>)</w:t>
      </w:r>
      <w:r w:rsidR="004A34B5" w:rsidRPr="00C44B9C">
        <w:rPr>
          <w:rFonts w:cstheme="minorHAnsi"/>
          <w:sz w:val="24"/>
          <w:szCs w:val="24"/>
        </w:rPr>
        <w:t xml:space="preserve"> and workers delivering assertive outreach have lived experience and there is a requirement that all settings actively offer users of services the opportunity to meet workers and volunteers with lived experience as part of their support. </w:t>
      </w:r>
    </w:p>
    <w:p w14:paraId="6E9DCE7C" w14:textId="5020E6D1" w:rsidR="004A34B5" w:rsidRPr="00C44B9C" w:rsidRDefault="00EC68B9" w:rsidP="00EC68B9">
      <w:pPr>
        <w:ind w:left="720" w:hanging="720"/>
        <w:rPr>
          <w:rFonts w:cstheme="minorHAnsi"/>
          <w:sz w:val="24"/>
          <w:szCs w:val="24"/>
        </w:rPr>
      </w:pPr>
      <w:r>
        <w:rPr>
          <w:rFonts w:cstheme="minorHAnsi"/>
          <w:sz w:val="24"/>
          <w:szCs w:val="24"/>
        </w:rPr>
        <w:t>47.</w:t>
      </w:r>
      <w:r>
        <w:rPr>
          <w:rFonts w:cstheme="minorHAnsi"/>
          <w:sz w:val="24"/>
          <w:szCs w:val="24"/>
        </w:rPr>
        <w:tab/>
      </w:r>
      <w:r w:rsidR="004A34B5" w:rsidRPr="00C44B9C">
        <w:rPr>
          <w:rFonts w:cstheme="minorHAnsi"/>
          <w:sz w:val="24"/>
          <w:szCs w:val="24"/>
        </w:rPr>
        <w:t xml:space="preserve">Key elements of the local systems which support people with lived experience to enter the workforce </w:t>
      </w:r>
      <w:r w:rsidR="00E627F3" w:rsidRPr="00C44B9C">
        <w:rPr>
          <w:rFonts w:cstheme="minorHAnsi"/>
          <w:sz w:val="24"/>
          <w:szCs w:val="24"/>
        </w:rPr>
        <w:t>are that</w:t>
      </w:r>
      <w:r w:rsidR="004A34B5" w:rsidRPr="00C44B9C">
        <w:rPr>
          <w:rFonts w:cstheme="minorHAnsi"/>
          <w:sz w:val="24"/>
          <w:szCs w:val="24"/>
        </w:rPr>
        <w:t xml:space="preserve"> all organisations are required to include </w:t>
      </w:r>
      <w:r w:rsidR="00BF4E15" w:rsidRPr="00C44B9C">
        <w:rPr>
          <w:rFonts w:cstheme="minorHAnsi"/>
          <w:sz w:val="24"/>
          <w:szCs w:val="24"/>
        </w:rPr>
        <w:t>careful</w:t>
      </w:r>
      <w:r w:rsidR="004A34B5" w:rsidRPr="00C44B9C">
        <w:rPr>
          <w:rFonts w:cstheme="minorHAnsi"/>
          <w:sz w:val="24"/>
          <w:szCs w:val="24"/>
        </w:rPr>
        <w:t xml:space="preserve"> consideration of roles that might require or benefit from lived experience and the enablers of that</w:t>
      </w:r>
      <w:r w:rsidR="00BD029D" w:rsidRPr="00C44B9C">
        <w:rPr>
          <w:rFonts w:cstheme="minorHAnsi"/>
          <w:sz w:val="24"/>
          <w:szCs w:val="24"/>
        </w:rPr>
        <w:t xml:space="preserve">. </w:t>
      </w:r>
      <w:r w:rsidR="004A34B5" w:rsidRPr="00C44B9C">
        <w:rPr>
          <w:rFonts w:cstheme="minorHAnsi"/>
          <w:sz w:val="24"/>
          <w:szCs w:val="24"/>
        </w:rPr>
        <w:t xml:space="preserve"> </w:t>
      </w:r>
      <w:r w:rsidR="00BD029D" w:rsidRPr="00C44B9C">
        <w:rPr>
          <w:rFonts w:cstheme="minorHAnsi"/>
          <w:sz w:val="24"/>
          <w:szCs w:val="24"/>
        </w:rPr>
        <w:t>S</w:t>
      </w:r>
      <w:r w:rsidR="004A34B5" w:rsidRPr="00C44B9C">
        <w:rPr>
          <w:rFonts w:cstheme="minorHAnsi"/>
          <w:sz w:val="24"/>
          <w:szCs w:val="24"/>
        </w:rPr>
        <w:t>everal organisations have specific roles in supporting people to develop professional experience in the early stages of the career path, including EnCompass</w:t>
      </w:r>
      <w:r w:rsidR="00BD029D" w:rsidRPr="00C44B9C">
        <w:rPr>
          <w:rFonts w:cstheme="minorHAnsi"/>
          <w:sz w:val="24"/>
          <w:szCs w:val="24"/>
        </w:rPr>
        <w:t>,</w:t>
      </w:r>
      <w:r w:rsidR="004A34B5" w:rsidRPr="00C44B9C">
        <w:rPr>
          <w:rFonts w:cstheme="minorHAnsi"/>
          <w:sz w:val="24"/>
          <w:szCs w:val="24"/>
        </w:rPr>
        <w:t xml:space="preserve"> who provide training and personal development opportunities and the community </w:t>
      </w:r>
      <w:r>
        <w:rPr>
          <w:rFonts w:cstheme="minorHAnsi"/>
          <w:sz w:val="24"/>
          <w:szCs w:val="24"/>
        </w:rPr>
        <w:t>3rd</w:t>
      </w:r>
      <w:r w:rsidR="004A34B5" w:rsidRPr="00C44B9C">
        <w:rPr>
          <w:rFonts w:cstheme="minorHAnsi"/>
          <w:sz w:val="24"/>
          <w:szCs w:val="24"/>
        </w:rPr>
        <w:t xml:space="preserve"> sector services who provide well supported volunteering and developmental positions. </w:t>
      </w:r>
    </w:p>
    <w:p w14:paraId="77118CC0" w14:textId="36BEEBA0" w:rsidR="004E2210" w:rsidRPr="00C44B9C" w:rsidRDefault="00EC68B9" w:rsidP="00EC68B9">
      <w:pPr>
        <w:ind w:left="720" w:hanging="720"/>
        <w:rPr>
          <w:rFonts w:cstheme="minorHAnsi"/>
          <w:sz w:val="24"/>
          <w:szCs w:val="24"/>
        </w:rPr>
      </w:pPr>
      <w:r>
        <w:rPr>
          <w:rFonts w:cstheme="minorHAnsi"/>
          <w:sz w:val="24"/>
          <w:szCs w:val="24"/>
        </w:rPr>
        <w:t>48.</w:t>
      </w:r>
      <w:r>
        <w:rPr>
          <w:rFonts w:cstheme="minorHAnsi"/>
          <w:sz w:val="24"/>
          <w:szCs w:val="24"/>
        </w:rPr>
        <w:tab/>
      </w:r>
      <w:r w:rsidR="034AAF71" w:rsidRPr="00C44B9C">
        <w:rPr>
          <w:rFonts w:cstheme="minorHAnsi"/>
          <w:sz w:val="24"/>
          <w:szCs w:val="24"/>
        </w:rPr>
        <w:t xml:space="preserve">The ADP are also supporting peer interventions for the most vulnerable people in crisis by funding the inspirational police-led initiative “Operation Threshold” which pro-actively seeks out those who have had a recent non-fatal overdose and offers them peer support and engagement with services. </w:t>
      </w:r>
      <w:r w:rsidR="1B2623B7" w:rsidRPr="00C44B9C">
        <w:rPr>
          <w:rFonts w:cstheme="minorHAnsi"/>
          <w:sz w:val="24"/>
          <w:szCs w:val="24"/>
        </w:rPr>
        <w:t xml:space="preserve">Peers also provide the largest distribution outlet for take home naloxone through a CGL-run peer outreach project. </w:t>
      </w:r>
    </w:p>
    <w:p w14:paraId="2B67F2EA" w14:textId="6DB243D2" w:rsidR="00877D15" w:rsidRPr="00C44B9C" w:rsidRDefault="00EC68B9" w:rsidP="007C4084">
      <w:pPr>
        <w:pStyle w:val="Heading2"/>
        <w:rPr>
          <w:rFonts w:asciiTheme="minorHAnsi" w:eastAsia="Arial" w:hAnsiTheme="minorHAnsi" w:cstheme="minorHAnsi"/>
          <w:sz w:val="24"/>
          <w:szCs w:val="24"/>
        </w:rPr>
      </w:pPr>
      <w:bookmarkStart w:id="28" w:name="_Toc174006755"/>
      <w:r w:rsidRPr="00864715">
        <w:rPr>
          <w:rFonts w:asciiTheme="minorHAnsi" w:eastAsia="Arial" w:hAnsiTheme="minorHAnsi" w:cstheme="minorHAnsi"/>
          <w:color w:val="auto"/>
          <w:sz w:val="24"/>
          <w:szCs w:val="24"/>
        </w:rPr>
        <w:t>49</w:t>
      </w:r>
      <w:r>
        <w:rPr>
          <w:rFonts w:asciiTheme="minorHAnsi" w:eastAsia="Arial" w:hAnsiTheme="minorHAnsi" w:cstheme="minorHAnsi"/>
          <w:sz w:val="24"/>
          <w:szCs w:val="24"/>
        </w:rPr>
        <w:tab/>
      </w:r>
      <w:r w:rsidR="00877D15" w:rsidRPr="008A2772">
        <w:rPr>
          <w:rFonts w:asciiTheme="minorHAnsi" w:eastAsia="Arial" w:hAnsiTheme="minorHAnsi" w:cstheme="minorHAnsi"/>
          <w:b/>
          <w:bCs/>
          <w:sz w:val="24"/>
          <w:szCs w:val="24"/>
        </w:rPr>
        <w:t xml:space="preserve">Edinburgh Recovery </w:t>
      </w:r>
      <w:r w:rsidR="00EB4472" w:rsidRPr="008A2772">
        <w:rPr>
          <w:rFonts w:asciiTheme="minorHAnsi" w:eastAsia="Arial" w:hAnsiTheme="minorHAnsi" w:cstheme="minorHAnsi"/>
          <w:b/>
          <w:bCs/>
          <w:sz w:val="24"/>
          <w:szCs w:val="24"/>
        </w:rPr>
        <w:t>A</w:t>
      </w:r>
      <w:r w:rsidR="00877D15" w:rsidRPr="008A2772">
        <w:rPr>
          <w:rFonts w:asciiTheme="minorHAnsi" w:eastAsia="Arial" w:hAnsiTheme="minorHAnsi" w:cstheme="minorHAnsi"/>
          <w:b/>
          <w:bCs/>
          <w:sz w:val="24"/>
          <w:szCs w:val="24"/>
        </w:rPr>
        <w:t xml:space="preserve">ctivities </w:t>
      </w:r>
      <w:r w:rsidRPr="008A2772">
        <w:rPr>
          <w:rFonts w:asciiTheme="minorHAnsi" w:eastAsia="Arial" w:hAnsiTheme="minorHAnsi" w:cstheme="minorHAnsi"/>
          <w:b/>
          <w:bCs/>
          <w:sz w:val="24"/>
          <w:szCs w:val="24"/>
        </w:rPr>
        <w:t>(ERA)</w:t>
      </w:r>
      <w:bookmarkEnd w:id="28"/>
    </w:p>
    <w:p w14:paraId="6C0FC60D" w14:textId="5395F431" w:rsidR="008A2772" w:rsidRDefault="00877D15" w:rsidP="008A2772">
      <w:pPr>
        <w:spacing w:line="256" w:lineRule="auto"/>
        <w:ind w:left="720"/>
        <w:rPr>
          <w:rFonts w:eastAsia="Arial" w:cstheme="minorHAnsi"/>
          <w:sz w:val="24"/>
          <w:szCs w:val="24"/>
        </w:rPr>
      </w:pPr>
      <w:r w:rsidRPr="00C44B9C">
        <w:rPr>
          <w:rFonts w:eastAsia="Arial" w:cstheme="minorHAnsi"/>
          <w:sz w:val="24"/>
          <w:szCs w:val="24"/>
        </w:rPr>
        <w:t>In 2023/24, the most substantial single funded project supporting the organised recovery community was Edinburgh Recovery Activities (ERA). The service provides a vast range of activities online and in person and the development of a huge community of mutual support</w:t>
      </w:r>
      <w:r w:rsidR="008A2772">
        <w:rPr>
          <w:rFonts w:eastAsia="Arial" w:cstheme="minorHAnsi"/>
          <w:sz w:val="24"/>
          <w:szCs w:val="24"/>
        </w:rPr>
        <w:t xml:space="preserve"> which is described below. </w:t>
      </w:r>
    </w:p>
    <w:p w14:paraId="62DC7149" w14:textId="6BBBAAED" w:rsidR="008A2772" w:rsidRDefault="008A2772" w:rsidP="008A2772">
      <w:pPr>
        <w:spacing w:line="256" w:lineRule="auto"/>
        <w:ind w:left="720" w:hanging="720"/>
        <w:rPr>
          <w:rFonts w:eastAsia="Arial" w:cstheme="minorHAnsi"/>
          <w:b/>
          <w:bCs/>
          <w:sz w:val="24"/>
          <w:szCs w:val="24"/>
        </w:rPr>
      </w:pPr>
      <w:r w:rsidRPr="00864715">
        <w:rPr>
          <w:rFonts w:eastAsia="Arial" w:cstheme="minorHAnsi"/>
          <w:sz w:val="24"/>
          <w:szCs w:val="24"/>
        </w:rPr>
        <w:t>50.</w:t>
      </w:r>
      <w:r>
        <w:rPr>
          <w:rFonts w:eastAsia="Arial" w:cstheme="minorHAnsi"/>
          <w:b/>
          <w:bCs/>
          <w:sz w:val="24"/>
          <w:szCs w:val="24"/>
        </w:rPr>
        <w:tab/>
      </w:r>
      <w:r w:rsidR="00877D15" w:rsidRPr="00C44B9C">
        <w:rPr>
          <w:rFonts w:eastAsia="Arial" w:cstheme="minorHAnsi"/>
          <w:b/>
          <w:bCs/>
          <w:sz w:val="24"/>
          <w:szCs w:val="24"/>
        </w:rPr>
        <w:t xml:space="preserve">People in Recovery </w:t>
      </w:r>
      <w:r w:rsidR="00864715">
        <w:rPr>
          <w:rFonts w:eastAsia="Arial" w:cstheme="minorHAnsi"/>
          <w:b/>
          <w:bCs/>
          <w:sz w:val="24"/>
          <w:szCs w:val="24"/>
        </w:rPr>
        <w:t xml:space="preserve">are </w:t>
      </w:r>
      <w:r w:rsidR="00877D15" w:rsidRPr="00C44B9C">
        <w:rPr>
          <w:rFonts w:eastAsia="Arial" w:cstheme="minorHAnsi"/>
          <w:b/>
          <w:bCs/>
          <w:sz w:val="24"/>
          <w:szCs w:val="24"/>
        </w:rPr>
        <w:t>more connected</w:t>
      </w:r>
      <w:r>
        <w:rPr>
          <w:rFonts w:eastAsia="Arial" w:cstheme="minorHAnsi"/>
          <w:b/>
          <w:bCs/>
          <w:sz w:val="24"/>
          <w:szCs w:val="24"/>
        </w:rPr>
        <w:t xml:space="preserve"> - </w:t>
      </w:r>
      <w:r w:rsidR="00877D15" w:rsidRPr="00C44B9C">
        <w:rPr>
          <w:rFonts w:eastAsia="Arial" w:cstheme="minorHAnsi"/>
          <w:sz w:val="24"/>
          <w:szCs w:val="24"/>
        </w:rPr>
        <w:t>ERA continues to grow</w:t>
      </w:r>
      <w:r w:rsidR="002422C8" w:rsidRPr="00C44B9C">
        <w:rPr>
          <w:rFonts w:eastAsia="Arial" w:cstheme="minorHAnsi"/>
          <w:sz w:val="24"/>
          <w:szCs w:val="24"/>
        </w:rPr>
        <w:t>,</w:t>
      </w:r>
      <w:r w:rsidR="00877D15" w:rsidRPr="00C44B9C">
        <w:rPr>
          <w:rFonts w:eastAsia="Arial" w:cstheme="minorHAnsi"/>
          <w:sz w:val="24"/>
          <w:szCs w:val="24"/>
        </w:rPr>
        <w:t xml:space="preserve"> engaging returning community members and new community members alike</w:t>
      </w:r>
      <w:r>
        <w:rPr>
          <w:rFonts w:eastAsia="Arial" w:cstheme="minorHAnsi"/>
          <w:sz w:val="24"/>
          <w:szCs w:val="24"/>
        </w:rPr>
        <w:t xml:space="preserve"> and this </w:t>
      </w:r>
      <w:r w:rsidR="00BF4E15">
        <w:rPr>
          <w:rFonts w:eastAsia="Arial" w:cstheme="minorHAnsi"/>
          <w:sz w:val="24"/>
          <w:szCs w:val="24"/>
        </w:rPr>
        <w:t xml:space="preserve">has </w:t>
      </w:r>
      <w:r w:rsidR="00BF4E15" w:rsidRPr="00C44B9C">
        <w:rPr>
          <w:rFonts w:eastAsia="Arial" w:cstheme="minorHAnsi"/>
          <w:sz w:val="24"/>
          <w:szCs w:val="24"/>
        </w:rPr>
        <w:t>been</w:t>
      </w:r>
      <w:r w:rsidR="00877D15" w:rsidRPr="00C44B9C">
        <w:rPr>
          <w:rFonts w:eastAsia="Arial" w:cstheme="minorHAnsi"/>
          <w:sz w:val="24"/>
          <w:szCs w:val="24"/>
        </w:rPr>
        <w:t xml:space="preserve"> aided by a larger staff team thanks to the inclusion of a new Trainee Peer Support Worker. </w:t>
      </w:r>
      <w:r w:rsidR="008160B0">
        <w:rPr>
          <w:rFonts w:eastAsia="Arial" w:cstheme="minorHAnsi"/>
          <w:sz w:val="24"/>
          <w:szCs w:val="24"/>
        </w:rPr>
        <w:t>B</w:t>
      </w:r>
      <w:r w:rsidR="008160B0" w:rsidRPr="00C44B9C">
        <w:rPr>
          <w:rFonts w:eastAsia="Arial" w:cstheme="minorHAnsi"/>
          <w:sz w:val="24"/>
          <w:szCs w:val="24"/>
        </w:rPr>
        <w:t>etween</w:t>
      </w:r>
      <w:r w:rsidR="00877D15" w:rsidRPr="00C44B9C">
        <w:rPr>
          <w:rFonts w:eastAsia="Arial" w:cstheme="minorHAnsi"/>
          <w:sz w:val="24"/>
          <w:szCs w:val="24"/>
        </w:rPr>
        <w:t xml:space="preserve"> October 2023 and March 2024, ERA </w:t>
      </w:r>
      <w:r>
        <w:rPr>
          <w:rFonts w:eastAsia="Arial" w:cstheme="minorHAnsi"/>
          <w:sz w:val="24"/>
          <w:szCs w:val="24"/>
        </w:rPr>
        <w:t>received</w:t>
      </w:r>
      <w:r w:rsidR="00877D15" w:rsidRPr="00C44B9C">
        <w:rPr>
          <w:rFonts w:eastAsia="Arial" w:cstheme="minorHAnsi"/>
          <w:sz w:val="24"/>
          <w:szCs w:val="24"/>
        </w:rPr>
        <w:t xml:space="preserve"> 1</w:t>
      </w:r>
      <w:r>
        <w:rPr>
          <w:rFonts w:eastAsia="Arial" w:cstheme="minorHAnsi"/>
          <w:sz w:val="24"/>
          <w:szCs w:val="24"/>
        </w:rPr>
        <w:t>,</w:t>
      </w:r>
      <w:r w:rsidR="00877D15" w:rsidRPr="00C44B9C">
        <w:rPr>
          <w:rFonts w:eastAsia="Arial" w:cstheme="minorHAnsi"/>
          <w:sz w:val="24"/>
          <w:szCs w:val="24"/>
        </w:rPr>
        <w:t xml:space="preserve">944 </w:t>
      </w:r>
      <w:r w:rsidR="00877D15" w:rsidRPr="00C44B9C">
        <w:rPr>
          <w:rFonts w:eastAsia="Arial" w:cstheme="minorHAnsi"/>
          <w:sz w:val="24"/>
          <w:szCs w:val="24"/>
        </w:rPr>
        <w:lastRenderedPageBreak/>
        <w:t>visitors with 152 new community members attending</w:t>
      </w:r>
      <w:r w:rsidR="00BF4E15" w:rsidRPr="00C44B9C">
        <w:rPr>
          <w:rFonts w:eastAsia="Arial" w:cstheme="minorHAnsi"/>
          <w:sz w:val="24"/>
          <w:szCs w:val="24"/>
        </w:rPr>
        <w:t xml:space="preserve">. </w:t>
      </w:r>
      <w:r w:rsidR="00877D15" w:rsidRPr="00C44B9C">
        <w:rPr>
          <w:rFonts w:eastAsia="Arial" w:cstheme="minorHAnsi"/>
          <w:sz w:val="24"/>
          <w:szCs w:val="24"/>
        </w:rPr>
        <w:t>220 volunteer hours</w:t>
      </w:r>
      <w:r>
        <w:rPr>
          <w:rFonts w:eastAsia="Arial" w:cstheme="minorHAnsi"/>
          <w:sz w:val="24"/>
          <w:szCs w:val="24"/>
        </w:rPr>
        <w:t xml:space="preserve"> have greatly added to ERA capacity</w:t>
      </w:r>
      <w:r w:rsidR="00BF4E15">
        <w:rPr>
          <w:rFonts w:eastAsia="Arial" w:cstheme="minorHAnsi"/>
          <w:sz w:val="24"/>
          <w:szCs w:val="24"/>
        </w:rPr>
        <w:t xml:space="preserve">. </w:t>
      </w:r>
    </w:p>
    <w:p w14:paraId="403916BE" w14:textId="05A3847D" w:rsidR="00877D15" w:rsidRPr="00C44B9C" w:rsidRDefault="008A2772" w:rsidP="00DF169A">
      <w:pPr>
        <w:spacing w:line="256" w:lineRule="auto"/>
        <w:ind w:left="720" w:hanging="720"/>
        <w:rPr>
          <w:rFonts w:eastAsia="Arial" w:cstheme="minorHAnsi"/>
          <w:b/>
          <w:bCs/>
          <w:sz w:val="24"/>
          <w:szCs w:val="24"/>
        </w:rPr>
      </w:pPr>
      <w:r w:rsidRPr="00D21799">
        <w:rPr>
          <w:rFonts w:eastAsia="Arial" w:cstheme="minorHAnsi"/>
          <w:sz w:val="24"/>
          <w:szCs w:val="24"/>
        </w:rPr>
        <w:t>51.</w:t>
      </w:r>
      <w:r>
        <w:rPr>
          <w:rFonts w:eastAsia="Arial" w:cstheme="minorHAnsi"/>
          <w:b/>
          <w:bCs/>
          <w:sz w:val="24"/>
          <w:szCs w:val="24"/>
        </w:rPr>
        <w:tab/>
      </w:r>
      <w:r w:rsidR="00877D15" w:rsidRPr="00C44B9C">
        <w:rPr>
          <w:rFonts w:eastAsia="Arial" w:cstheme="minorHAnsi"/>
          <w:b/>
          <w:bCs/>
          <w:sz w:val="24"/>
          <w:szCs w:val="24"/>
        </w:rPr>
        <w:t>Increasing the number of People Engaged with Recovery Activities directly from and alongside treatment</w:t>
      </w:r>
      <w:r>
        <w:rPr>
          <w:rFonts w:eastAsia="Arial" w:cstheme="minorHAnsi"/>
          <w:b/>
          <w:bCs/>
          <w:sz w:val="24"/>
          <w:szCs w:val="24"/>
        </w:rPr>
        <w:t xml:space="preserve"> </w:t>
      </w:r>
      <w:r w:rsidR="00DF169A" w:rsidRPr="00C44B9C">
        <w:rPr>
          <w:rFonts w:eastAsia="Arial" w:cstheme="minorHAnsi"/>
          <w:sz w:val="24"/>
          <w:szCs w:val="24"/>
        </w:rPr>
        <w:t xml:space="preserve">ERA </w:t>
      </w:r>
      <w:r w:rsidR="00BF4E15">
        <w:rPr>
          <w:rFonts w:eastAsia="Arial" w:cstheme="minorHAnsi"/>
          <w:sz w:val="24"/>
          <w:szCs w:val="24"/>
        </w:rPr>
        <w:t xml:space="preserve">has </w:t>
      </w:r>
      <w:r w:rsidR="00BF4E15" w:rsidRPr="00C44B9C">
        <w:rPr>
          <w:rFonts w:eastAsia="Arial" w:cstheme="minorHAnsi"/>
          <w:sz w:val="24"/>
          <w:szCs w:val="24"/>
        </w:rPr>
        <w:t>a</w:t>
      </w:r>
      <w:r w:rsidR="00877D15" w:rsidRPr="00C44B9C">
        <w:rPr>
          <w:rFonts w:eastAsia="Arial" w:cstheme="minorHAnsi"/>
          <w:sz w:val="24"/>
          <w:szCs w:val="24"/>
        </w:rPr>
        <w:t xml:space="preserve"> valuable</w:t>
      </w:r>
      <w:r>
        <w:rPr>
          <w:rFonts w:eastAsia="Arial" w:cstheme="minorHAnsi"/>
          <w:sz w:val="24"/>
          <w:szCs w:val="24"/>
        </w:rPr>
        <w:t xml:space="preserve"> and </w:t>
      </w:r>
      <w:r w:rsidR="00BF4E15">
        <w:rPr>
          <w:rFonts w:eastAsia="Arial" w:cstheme="minorHAnsi"/>
          <w:sz w:val="24"/>
          <w:szCs w:val="24"/>
        </w:rPr>
        <w:t xml:space="preserve">productive </w:t>
      </w:r>
      <w:r w:rsidR="00BF4E15" w:rsidRPr="00C44B9C">
        <w:rPr>
          <w:rFonts w:eastAsia="Arial" w:cstheme="minorHAnsi"/>
          <w:sz w:val="24"/>
          <w:szCs w:val="24"/>
        </w:rPr>
        <w:t>relationship</w:t>
      </w:r>
      <w:r w:rsidR="00877D15" w:rsidRPr="00C44B9C">
        <w:rPr>
          <w:rFonts w:eastAsia="Arial" w:cstheme="minorHAnsi"/>
          <w:sz w:val="24"/>
          <w:szCs w:val="24"/>
        </w:rPr>
        <w:t xml:space="preserve"> with LEAP</w:t>
      </w:r>
      <w:r>
        <w:rPr>
          <w:rFonts w:eastAsia="Arial" w:cstheme="minorHAnsi"/>
          <w:sz w:val="24"/>
          <w:szCs w:val="24"/>
        </w:rPr>
        <w:t xml:space="preserve"> which includes </w:t>
      </w:r>
      <w:r w:rsidR="00877D15" w:rsidRPr="00C44B9C">
        <w:rPr>
          <w:rFonts w:eastAsia="Arial" w:cstheme="minorHAnsi"/>
          <w:sz w:val="24"/>
          <w:szCs w:val="24"/>
        </w:rPr>
        <w:t xml:space="preserve">s current </w:t>
      </w:r>
      <w:r w:rsidR="00BF4E15">
        <w:rPr>
          <w:rFonts w:eastAsia="Arial" w:cstheme="minorHAnsi"/>
          <w:sz w:val="24"/>
          <w:szCs w:val="24"/>
        </w:rPr>
        <w:t xml:space="preserve">participants </w:t>
      </w:r>
      <w:r w:rsidR="00BF4E15" w:rsidRPr="00C44B9C">
        <w:rPr>
          <w:rFonts w:eastAsia="Arial" w:cstheme="minorHAnsi"/>
          <w:sz w:val="24"/>
          <w:szCs w:val="24"/>
        </w:rPr>
        <w:t>visiting</w:t>
      </w:r>
      <w:r w:rsidR="00877D15" w:rsidRPr="00C44B9C">
        <w:rPr>
          <w:rFonts w:eastAsia="Arial" w:cstheme="minorHAnsi"/>
          <w:sz w:val="24"/>
          <w:szCs w:val="24"/>
        </w:rPr>
        <w:t xml:space="preserve"> the café and evening events, as well as the team visiting the out of hours accommodation in the West of the City</w:t>
      </w:r>
      <w:r w:rsidR="00BF4E15" w:rsidRPr="00C44B9C">
        <w:rPr>
          <w:rFonts w:eastAsia="Arial" w:cstheme="minorHAnsi"/>
          <w:sz w:val="24"/>
          <w:szCs w:val="24"/>
        </w:rPr>
        <w:t xml:space="preserve">. </w:t>
      </w:r>
      <w:r w:rsidR="00877D15" w:rsidRPr="00C44B9C">
        <w:rPr>
          <w:rFonts w:eastAsia="Arial" w:cstheme="minorHAnsi"/>
          <w:sz w:val="24"/>
          <w:szCs w:val="24"/>
        </w:rPr>
        <w:t xml:space="preserve">LEAP attendees and graduates </w:t>
      </w:r>
      <w:r>
        <w:rPr>
          <w:rFonts w:eastAsia="Arial" w:cstheme="minorHAnsi"/>
          <w:sz w:val="24"/>
          <w:szCs w:val="24"/>
        </w:rPr>
        <w:t>participate in ERA activities and groups</w:t>
      </w:r>
      <w:r w:rsidR="00BF4E15">
        <w:rPr>
          <w:rFonts w:eastAsia="Arial" w:cstheme="minorHAnsi"/>
          <w:sz w:val="24"/>
          <w:szCs w:val="24"/>
        </w:rPr>
        <w:t xml:space="preserve">. </w:t>
      </w:r>
      <w:r w:rsidR="00877D15" w:rsidRPr="00C44B9C">
        <w:rPr>
          <w:rFonts w:eastAsia="Arial" w:cstheme="minorHAnsi"/>
          <w:sz w:val="24"/>
          <w:szCs w:val="24"/>
        </w:rPr>
        <w:t xml:space="preserve">One of ERA’s Community Development </w:t>
      </w:r>
      <w:r w:rsidRPr="00C44B9C">
        <w:rPr>
          <w:rFonts w:eastAsia="Arial" w:cstheme="minorHAnsi"/>
          <w:sz w:val="24"/>
          <w:szCs w:val="24"/>
        </w:rPr>
        <w:t xml:space="preserve">workers </w:t>
      </w:r>
      <w:r>
        <w:rPr>
          <w:rFonts w:eastAsia="Arial" w:cstheme="minorHAnsi"/>
          <w:sz w:val="24"/>
          <w:szCs w:val="24"/>
        </w:rPr>
        <w:t xml:space="preserve">recently </w:t>
      </w:r>
      <w:r w:rsidR="00877D15" w:rsidRPr="00C44B9C">
        <w:rPr>
          <w:rFonts w:eastAsia="Arial" w:cstheme="minorHAnsi"/>
          <w:sz w:val="24"/>
          <w:szCs w:val="24"/>
        </w:rPr>
        <w:t xml:space="preserve">spent time at </w:t>
      </w:r>
      <w:r>
        <w:rPr>
          <w:rFonts w:eastAsia="Arial" w:cstheme="minorHAnsi"/>
          <w:sz w:val="24"/>
          <w:szCs w:val="24"/>
        </w:rPr>
        <w:t xml:space="preserve">the </w:t>
      </w:r>
      <w:r w:rsidR="00877D15" w:rsidRPr="00C44B9C">
        <w:rPr>
          <w:rFonts w:eastAsia="Arial" w:cstheme="minorHAnsi"/>
          <w:sz w:val="24"/>
          <w:szCs w:val="24"/>
        </w:rPr>
        <w:t>Ritson</w:t>
      </w:r>
      <w:r>
        <w:rPr>
          <w:rFonts w:eastAsia="Arial" w:cstheme="minorHAnsi"/>
          <w:sz w:val="24"/>
          <w:szCs w:val="24"/>
        </w:rPr>
        <w:t xml:space="preserve"> Detox Unit</w:t>
      </w:r>
      <w:r w:rsidR="00877D15" w:rsidRPr="00C44B9C">
        <w:rPr>
          <w:rFonts w:eastAsia="Arial" w:cstheme="minorHAnsi"/>
          <w:sz w:val="24"/>
          <w:szCs w:val="24"/>
        </w:rPr>
        <w:t>, taking part in weekly groups for patients utilising space at the Cyrenians Community Garden</w:t>
      </w:r>
      <w:r>
        <w:rPr>
          <w:rFonts w:eastAsia="Arial" w:cstheme="minorHAnsi"/>
          <w:sz w:val="24"/>
          <w:szCs w:val="24"/>
        </w:rPr>
        <w:t xml:space="preserve"> on the Royal Edinburgh Campus. </w:t>
      </w:r>
      <w:r w:rsidR="00877D15" w:rsidRPr="00C44B9C">
        <w:rPr>
          <w:rFonts w:eastAsia="Arial" w:cstheme="minorHAnsi"/>
          <w:sz w:val="24"/>
          <w:szCs w:val="24"/>
        </w:rPr>
        <w:t xml:space="preserve">  </w:t>
      </w:r>
      <w:r w:rsidRPr="00C44B9C">
        <w:rPr>
          <w:rFonts w:eastAsia="Arial" w:cstheme="minorHAnsi"/>
          <w:sz w:val="24"/>
          <w:szCs w:val="24"/>
        </w:rPr>
        <w:t xml:space="preserve">This proved to be </w:t>
      </w:r>
      <w:r w:rsidR="00BF4E15" w:rsidRPr="00C44B9C">
        <w:rPr>
          <w:rFonts w:eastAsia="Arial" w:cstheme="minorHAnsi"/>
          <w:sz w:val="24"/>
          <w:szCs w:val="24"/>
        </w:rPr>
        <w:t>incredibly positive</w:t>
      </w:r>
      <w:r w:rsidRPr="00C44B9C">
        <w:rPr>
          <w:rFonts w:eastAsia="Arial" w:cstheme="minorHAnsi"/>
          <w:sz w:val="24"/>
          <w:szCs w:val="24"/>
        </w:rPr>
        <w:t xml:space="preserve"> with Ritson </w:t>
      </w:r>
      <w:r w:rsidR="00DF169A">
        <w:rPr>
          <w:rFonts w:eastAsia="Arial" w:cstheme="minorHAnsi"/>
          <w:sz w:val="24"/>
          <w:szCs w:val="24"/>
        </w:rPr>
        <w:t>s</w:t>
      </w:r>
      <w:r w:rsidRPr="00C44B9C">
        <w:rPr>
          <w:rFonts w:eastAsia="Arial" w:cstheme="minorHAnsi"/>
          <w:sz w:val="24"/>
          <w:szCs w:val="24"/>
        </w:rPr>
        <w:t>taff</w:t>
      </w:r>
      <w:r w:rsidR="00DF169A">
        <w:rPr>
          <w:rFonts w:eastAsia="Arial" w:cstheme="minorHAnsi"/>
          <w:sz w:val="24"/>
          <w:szCs w:val="24"/>
        </w:rPr>
        <w:t xml:space="preserve"> who </w:t>
      </w:r>
      <w:r w:rsidR="00BF4E15">
        <w:rPr>
          <w:rFonts w:eastAsia="Arial" w:cstheme="minorHAnsi"/>
          <w:sz w:val="24"/>
          <w:szCs w:val="24"/>
        </w:rPr>
        <w:t xml:space="preserve">are </w:t>
      </w:r>
      <w:r w:rsidR="00BF4E15" w:rsidRPr="00C44B9C">
        <w:rPr>
          <w:rFonts w:eastAsia="Arial" w:cstheme="minorHAnsi"/>
          <w:sz w:val="24"/>
          <w:szCs w:val="24"/>
        </w:rPr>
        <w:t>keen</w:t>
      </w:r>
      <w:r w:rsidRPr="00C44B9C">
        <w:rPr>
          <w:rFonts w:eastAsia="Arial" w:cstheme="minorHAnsi"/>
          <w:sz w:val="24"/>
          <w:szCs w:val="24"/>
        </w:rPr>
        <w:t xml:space="preserve"> to </w:t>
      </w:r>
      <w:r w:rsidR="00DF169A">
        <w:rPr>
          <w:rFonts w:eastAsia="Arial" w:cstheme="minorHAnsi"/>
          <w:sz w:val="24"/>
          <w:szCs w:val="24"/>
        </w:rPr>
        <w:t xml:space="preserve">develop a specific programme of activities.  </w:t>
      </w:r>
    </w:p>
    <w:p w14:paraId="692A5E33" w14:textId="23F29F35" w:rsidR="00877D15" w:rsidRPr="00C44B9C" w:rsidRDefault="00DF169A" w:rsidP="00DF169A">
      <w:pPr>
        <w:spacing w:line="256" w:lineRule="auto"/>
        <w:ind w:left="720" w:hanging="720"/>
        <w:rPr>
          <w:rFonts w:eastAsia="Arial" w:cstheme="minorHAnsi"/>
          <w:sz w:val="24"/>
          <w:szCs w:val="24"/>
        </w:rPr>
      </w:pPr>
      <w:r>
        <w:rPr>
          <w:rFonts w:eastAsia="Arial" w:cstheme="minorHAnsi"/>
          <w:sz w:val="24"/>
          <w:szCs w:val="24"/>
        </w:rPr>
        <w:t>52.</w:t>
      </w:r>
      <w:r>
        <w:rPr>
          <w:rFonts w:eastAsia="Arial" w:cstheme="minorHAnsi"/>
          <w:sz w:val="24"/>
          <w:szCs w:val="24"/>
        </w:rPr>
        <w:tab/>
      </w:r>
      <w:r w:rsidR="008160B0" w:rsidRPr="00C44B9C">
        <w:rPr>
          <w:rFonts w:eastAsia="Arial" w:cstheme="minorHAnsi"/>
          <w:b/>
          <w:bCs/>
          <w:sz w:val="24"/>
          <w:szCs w:val="24"/>
        </w:rPr>
        <w:t>More groups and activities happening</w:t>
      </w:r>
      <w:r w:rsidR="008160B0">
        <w:rPr>
          <w:rFonts w:eastAsia="Arial" w:cstheme="minorHAnsi"/>
          <w:b/>
          <w:bCs/>
          <w:sz w:val="24"/>
          <w:szCs w:val="24"/>
        </w:rPr>
        <w:t xml:space="preserve"> -</w:t>
      </w:r>
      <w:r w:rsidR="008160B0">
        <w:rPr>
          <w:rFonts w:eastAsia="Arial" w:cstheme="minorHAnsi"/>
          <w:sz w:val="24"/>
          <w:szCs w:val="24"/>
        </w:rPr>
        <w:t xml:space="preserve"> In</w:t>
      </w:r>
      <w:r>
        <w:rPr>
          <w:rFonts w:eastAsia="Arial" w:cstheme="minorHAnsi"/>
          <w:sz w:val="24"/>
          <w:szCs w:val="24"/>
        </w:rPr>
        <w:t xml:space="preserve"> addition to the </w:t>
      </w:r>
      <w:r w:rsidR="00BF4E15">
        <w:rPr>
          <w:rFonts w:eastAsia="Arial" w:cstheme="minorHAnsi"/>
          <w:sz w:val="24"/>
          <w:szCs w:val="24"/>
        </w:rPr>
        <w:t xml:space="preserve">regular </w:t>
      </w:r>
      <w:r w:rsidR="00BF4E15" w:rsidRPr="00C44B9C">
        <w:rPr>
          <w:rFonts w:eastAsia="Arial" w:cstheme="minorHAnsi"/>
          <w:sz w:val="24"/>
          <w:szCs w:val="24"/>
        </w:rPr>
        <w:t>weekly</w:t>
      </w:r>
      <w:r w:rsidR="00877D15" w:rsidRPr="00C44B9C">
        <w:rPr>
          <w:rFonts w:eastAsia="Arial" w:cstheme="minorHAnsi"/>
          <w:sz w:val="24"/>
          <w:szCs w:val="24"/>
        </w:rPr>
        <w:t xml:space="preserve"> groups </w:t>
      </w:r>
      <w:r w:rsidR="00BF4E15" w:rsidRPr="00C44B9C">
        <w:rPr>
          <w:rFonts w:eastAsia="Arial" w:cstheme="minorHAnsi"/>
          <w:sz w:val="24"/>
          <w:szCs w:val="24"/>
        </w:rPr>
        <w:t xml:space="preserve">continue </w:t>
      </w:r>
      <w:r w:rsidR="00BF4E15">
        <w:rPr>
          <w:rFonts w:eastAsia="Arial" w:cstheme="minorHAnsi"/>
          <w:sz w:val="24"/>
          <w:szCs w:val="24"/>
        </w:rPr>
        <w:t>a</w:t>
      </w:r>
      <w:r>
        <w:rPr>
          <w:rFonts w:eastAsia="Arial" w:cstheme="minorHAnsi"/>
          <w:sz w:val="24"/>
          <w:szCs w:val="24"/>
        </w:rPr>
        <w:t xml:space="preserve"> number of new groups reflecting the interests of the community have developed</w:t>
      </w:r>
      <w:r w:rsidR="00BF4E15">
        <w:rPr>
          <w:rFonts w:eastAsia="Arial" w:cstheme="minorHAnsi"/>
          <w:sz w:val="24"/>
          <w:szCs w:val="24"/>
        </w:rPr>
        <w:t xml:space="preserve">. </w:t>
      </w:r>
      <w:r>
        <w:rPr>
          <w:rFonts w:eastAsia="Arial" w:cstheme="minorHAnsi"/>
          <w:sz w:val="24"/>
          <w:szCs w:val="24"/>
        </w:rPr>
        <w:t xml:space="preserve">These include the </w:t>
      </w:r>
      <w:r w:rsidR="00877D15" w:rsidRPr="00C44B9C">
        <w:rPr>
          <w:rFonts w:eastAsia="Arial" w:cstheme="minorHAnsi"/>
          <w:sz w:val="24"/>
          <w:szCs w:val="24"/>
        </w:rPr>
        <w:t>Book Group, Creative Writing</w:t>
      </w:r>
      <w:r>
        <w:rPr>
          <w:rFonts w:eastAsia="Arial" w:cstheme="minorHAnsi"/>
          <w:sz w:val="24"/>
          <w:szCs w:val="24"/>
        </w:rPr>
        <w:t xml:space="preserve"> Group and our Days Out </w:t>
      </w:r>
      <w:r w:rsidR="00877D15" w:rsidRPr="00C44B9C">
        <w:rPr>
          <w:rFonts w:eastAsia="Arial" w:cstheme="minorHAnsi"/>
          <w:sz w:val="24"/>
          <w:szCs w:val="24"/>
        </w:rPr>
        <w:t xml:space="preserve">on more trips to the Galleries, </w:t>
      </w:r>
      <w:r w:rsidR="00BF4E15" w:rsidRPr="00C44B9C">
        <w:rPr>
          <w:rFonts w:eastAsia="Arial" w:cstheme="minorHAnsi"/>
          <w:sz w:val="24"/>
          <w:szCs w:val="24"/>
        </w:rPr>
        <w:t>Museums,</w:t>
      </w:r>
      <w:r w:rsidR="00877D15" w:rsidRPr="00C44B9C">
        <w:rPr>
          <w:rFonts w:eastAsia="Arial" w:cstheme="minorHAnsi"/>
          <w:sz w:val="24"/>
          <w:szCs w:val="24"/>
        </w:rPr>
        <w:t xml:space="preserve"> and </w:t>
      </w:r>
      <w:r>
        <w:rPr>
          <w:rFonts w:eastAsia="Arial" w:cstheme="minorHAnsi"/>
          <w:sz w:val="24"/>
          <w:szCs w:val="24"/>
        </w:rPr>
        <w:t xml:space="preserve">the </w:t>
      </w:r>
      <w:r w:rsidRPr="00C44B9C">
        <w:rPr>
          <w:rFonts w:eastAsia="Arial" w:cstheme="minorHAnsi"/>
          <w:sz w:val="24"/>
          <w:szCs w:val="24"/>
        </w:rPr>
        <w:t xml:space="preserve">Scottish Parliament </w:t>
      </w:r>
      <w:r w:rsidR="00877D15" w:rsidRPr="00C44B9C">
        <w:rPr>
          <w:rFonts w:eastAsia="Arial" w:cstheme="minorHAnsi"/>
          <w:sz w:val="24"/>
          <w:szCs w:val="24"/>
        </w:rPr>
        <w:t>Botanic Gardens</w:t>
      </w:r>
      <w:r w:rsidR="00BF4E15" w:rsidRPr="00C44B9C">
        <w:rPr>
          <w:rFonts w:eastAsia="Arial" w:cstheme="minorHAnsi"/>
          <w:sz w:val="24"/>
          <w:szCs w:val="24"/>
        </w:rPr>
        <w:t xml:space="preserve">. </w:t>
      </w:r>
      <w:r w:rsidR="00877D15" w:rsidRPr="00C44B9C">
        <w:rPr>
          <w:rFonts w:eastAsia="Arial" w:cstheme="minorHAnsi"/>
          <w:sz w:val="24"/>
          <w:szCs w:val="24"/>
        </w:rPr>
        <w:t>The Bi-weekly fishing group continues to be incredibly popular and the addition of an ERA singing group has provided a new avenue of creativity for the community</w:t>
      </w:r>
      <w:r w:rsidR="00BF4E15" w:rsidRPr="00C44B9C">
        <w:rPr>
          <w:rFonts w:eastAsia="Arial" w:cstheme="minorHAnsi"/>
          <w:sz w:val="24"/>
          <w:szCs w:val="24"/>
        </w:rPr>
        <w:t xml:space="preserve">. </w:t>
      </w:r>
      <w:r w:rsidR="00877D15" w:rsidRPr="00C44B9C">
        <w:rPr>
          <w:rFonts w:eastAsia="Arial" w:cstheme="minorHAnsi"/>
          <w:sz w:val="24"/>
          <w:szCs w:val="24"/>
        </w:rPr>
        <w:t>Plans are currently underway for a community led Drama group along with the first ERA Rave</w:t>
      </w:r>
      <w:r w:rsidR="00BF4E15" w:rsidRPr="00C44B9C">
        <w:rPr>
          <w:rFonts w:eastAsia="Arial" w:cstheme="minorHAnsi"/>
          <w:sz w:val="24"/>
          <w:szCs w:val="24"/>
        </w:rPr>
        <w:t xml:space="preserve">. </w:t>
      </w:r>
      <w:r w:rsidR="00877D15" w:rsidRPr="00C44B9C">
        <w:rPr>
          <w:rFonts w:eastAsia="Arial" w:cstheme="minorHAnsi"/>
          <w:sz w:val="24"/>
          <w:szCs w:val="24"/>
        </w:rPr>
        <w:t>Groups have also visited the.</w:t>
      </w:r>
    </w:p>
    <w:p w14:paraId="7899D3EE" w14:textId="4009444F" w:rsidR="00877D15" w:rsidRPr="00C44B9C" w:rsidRDefault="00DF169A" w:rsidP="00DF169A">
      <w:pPr>
        <w:spacing w:line="256" w:lineRule="auto"/>
        <w:ind w:left="720" w:hanging="720"/>
        <w:rPr>
          <w:rFonts w:eastAsia="Arial" w:cstheme="minorHAnsi"/>
          <w:sz w:val="24"/>
          <w:szCs w:val="24"/>
        </w:rPr>
      </w:pPr>
      <w:r>
        <w:rPr>
          <w:rFonts w:eastAsia="Arial" w:cstheme="minorHAnsi"/>
          <w:sz w:val="24"/>
          <w:szCs w:val="24"/>
        </w:rPr>
        <w:t>53.</w:t>
      </w:r>
      <w:r>
        <w:rPr>
          <w:rFonts w:eastAsia="Arial" w:cstheme="minorHAnsi"/>
          <w:sz w:val="24"/>
          <w:szCs w:val="24"/>
        </w:rPr>
        <w:tab/>
        <w:t>ERA has worked</w:t>
      </w:r>
      <w:r w:rsidR="00877D15" w:rsidRPr="00C44B9C">
        <w:rPr>
          <w:rFonts w:eastAsia="Arial" w:cstheme="minorHAnsi"/>
          <w:sz w:val="24"/>
          <w:szCs w:val="24"/>
        </w:rPr>
        <w:t xml:space="preserve"> closely with </w:t>
      </w:r>
      <w:r>
        <w:rPr>
          <w:rFonts w:eastAsia="Arial" w:cstheme="minorHAnsi"/>
          <w:sz w:val="24"/>
          <w:szCs w:val="24"/>
        </w:rPr>
        <w:t>p</w:t>
      </w:r>
      <w:r w:rsidR="00877D15" w:rsidRPr="00C44B9C">
        <w:rPr>
          <w:rFonts w:eastAsia="Arial" w:cstheme="minorHAnsi"/>
          <w:sz w:val="24"/>
          <w:szCs w:val="24"/>
        </w:rPr>
        <w:t>artner organisations such as Circle putting on Family events over Halloween, trips to country parks and Christmas events.  The ERA Hogmanay event was attended by nearly 100 individuals in recovery, offering a safe social place to bring in the New Year.</w:t>
      </w:r>
    </w:p>
    <w:p w14:paraId="605EFDF4" w14:textId="35D65006" w:rsidR="00877D15" w:rsidRPr="00C44B9C" w:rsidRDefault="00DF169A" w:rsidP="00DF169A">
      <w:pPr>
        <w:spacing w:line="256" w:lineRule="auto"/>
        <w:ind w:left="720" w:hanging="720"/>
        <w:rPr>
          <w:rFonts w:eastAsia="Arial" w:cstheme="minorHAnsi"/>
          <w:sz w:val="24"/>
          <w:szCs w:val="24"/>
        </w:rPr>
      </w:pPr>
      <w:r w:rsidRPr="00D21799">
        <w:rPr>
          <w:rFonts w:eastAsia="Arial" w:cstheme="minorHAnsi"/>
          <w:sz w:val="24"/>
          <w:szCs w:val="24"/>
        </w:rPr>
        <w:t>54</w:t>
      </w:r>
      <w:r>
        <w:rPr>
          <w:rFonts w:eastAsia="Arial" w:cstheme="minorHAnsi"/>
          <w:b/>
          <w:bCs/>
          <w:sz w:val="24"/>
          <w:szCs w:val="24"/>
        </w:rPr>
        <w:t xml:space="preserve">. </w:t>
      </w:r>
      <w:r>
        <w:rPr>
          <w:rFonts w:eastAsia="Arial" w:cstheme="minorHAnsi"/>
          <w:b/>
          <w:bCs/>
          <w:sz w:val="24"/>
          <w:szCs w:val="24"/>
        </w:rPr>
        <w:tab/>
      </w:r>
      <w:r w:rsidR="00877D15" w:rsidRPr="00C44B9C">
        <w:rPr>
          <w:rFonts w:eastAsia="Arial" w:cstheme="minorHAnsi"/>
          <w:b/>
          <w:bCs/>
          <w:sz w:val="24"/>
          <w:szCs w:val="24"/>
        </w:rPr>
        <w:t>Broader Representation of People at different points of recovery</w:t>
      </w:r>
      <w:r>
        <w:rPr>
          <w:rFonts w:eastAsia="Arial" w:cstheme="minorHAnsi"/>
          <w:b/>
          <w:bCs/>
          <w:sz w:val="24"/>
          <w:szCs w:val="24"/>
        </w:rPr>
        <w:t xml:space="preserve"> –</w:t>
      </w:r>
      <w:r w:rsidRPr="00DF169A">
        <w:rPr>
          <w:rFonts w:eastAsia="Arial" w:cstheme="minorHAnsi"/>
          <w:sz w:val="24"/>
          <w:szCs w:val="24"/>
        </w:rPr>
        <w:t xml:space="preserve"> ERA</w:t>
      </w:r>
      <w:r w:rsidR="00877D15" w:rsidRPr="00C44B9C">
        <w:rPr>
          <w:rFonts w:eastAsia="Arial" w:cstheme="minorHAnsi"/>
          <w:sz w:val="24"/>
          <w:szCs w:val="24"/>
        </w:rPr>
        <w:t xml:space="preserve"> continue</w:t>
      </w:r>
      <w:r>
        <w:rPr>
          <w:rFonts w:eastAsia="Arial" w:cstheme="minorHAnsi"/>
          <w:sz w:val="24"/>
          <w:szCs w:val="24"/>
        </w:rPr>
        <w:t>s</w:t>
      </w:r>
      <w:r w:rsidR="00877D15" w:rsidRPr="00C44B9C">
        <w:rPr>
          <w:rFonts w:eastAsia="Arial" w:cstheme="minorHAnsi"/>
          <w:sz w:val="24"/>
          <w:szCs w:val="24"/>
        </w:rPr>
        <w:t xml:space="preserve"> to welcome a fantastic mix of experience around recovery, with many groups being attended by those who are beginning their journey, spending time with those who have substantial time in recovery</w:t>
      </w:r>
      <w:r w:rsidR="00BF4E15" w:rsidRPr="00C44B9C">
        <w:rPr>
          <w:rFonts w:eastAsia="Arial" w:cstheme="minorHAnsi"/>
          <w:sz w:val="24"/>
          <w:szCs w:val="24"/>
        </w:rPr>
        <w:t xml:space="preserve">. </w:t>
      </w:r>
      <w:r>
        <w:rPr>
          <w:rFonts w:eastAsia="Arial" w:cstheme="minorHAnsi"/>
          <w:sz w:val="24"/>
          <w:szCs w:val="24"/>
        </w:rPr>
        <w:t xml:space="preserve">There </w:t>
      </w:r>
      <w:r w:rsidR="001D3B0C">
        <w:rPr>
          <w:rFonts w:eastAsia="Arial" w:cstheme="minorHAnsi"/>
          <w:sz w:val="24"/>
          <w:szCs w:val="24"/>
        </w:rPr>
        <w:t xml:space="preserve">is </w:t>
      </w:r>
      <w:r w:rsidR="001D3B0C" w:rsidRPr="00C44B9C">
        <w:rPr>
          <w:rFonts w:eastAsia="Arial" w:cstheme="minorHAnsi"/>
          <w:sz w:val="24"/>
          <w:szCs w:val="24"/>
        </w:rPr>
        <w:t>a</w:t>
      </w:r>
      <w:r w:rsidR="00877D15" w:rsidRPr="00C44B9C">
        <w:rPr>
          <w:rFonts w:eastAsia="Arial" w:cstheme="minorHAnsi"/>
          <w:sz w:val="24"/>
          <w:szCs w:val="24"/>
        </w:rPr>
        <w:t xml:space="preserve"> no referral policy where possible and </w:t>
      </w:r>
      <w:r>
        <w:rPr>
          <w:rFonts w:eastAsia="Arial" w:cstheme="minorHAnsi"/>
          <w:sz w:val="24"/>
          <w:szCs w:val="24"/>
        </w:rPr>
        <w:t>this</w:t>
      </w:r>
      <w:r w:rsidR="00D21799">
        <w:rPr>
          <w:rFonts w:eastAsia="Arial" w:cstheme="minorHAnsi"/>
          <w:sz w:val="24"/>
          <w:szCs w:val="24"/>
        </w:rPr>
        <w:t xml:space="preserve"> </w:t>
      </w:r>
      <w:r w:rsidR="00877D15" w:rsidRPr="00C44B9C">
        <w:rPr>
          <w:rFonts w:eastAsia="Arial" w:cstheme="minorHAnsi"/>
          <w:sz w:val="24"/>
          <w:szCs w:val="24"/>
        </w:rPr>
        <w:t>‘Open Door’ often helps those who might feel nervous or put off by overly professional settings and introductions</w:t>
      </w:r>
      <w:r w:rsidR="00BF4E15" w:rsidRPr="00C44B9C">
        <w:rPr>
          <w:rFonts w:eastAsia="Arial" w:cstheme="minorHAnsi"/>
          <w:sz w:val="24"/>
          <w:szCs w:val="24"/>
        </w:rPr>
        <w:t xml:space="preserve">. </w:t>
      </w:r>
      <w:r w:rsidR="001D3B0C">
        <w:rPr>
          <w:rFonts w:eastAsia="Arial" w:cstheme="minorHAnsi"/>
          <w:sz w:val="24"/>
          <w:szCs w:val="24"/>
        </w:rPr>
        <w:t xml:space="preserve">The </w:t>
      </w:r>
      <w:r w:rsidR="00D21799" w:rsidRPr="00C44B9C">
        <w:rPr>
          <w:rFonts w:eastAsia="Arial" w:cstheme="minorHAnsi"/>
          <w:sz w:val="24"/>
          <w:szCs w:val="24"/>
        </w:rPr>
        <w:t>introduction</w:t>
      </w:r>
      <w:r w:rsidR="00D21799">
        <w:rPr>
          <w:rFonts w:eastAsia="Arial" w:cstheme="minorHAnsi"/>
          <w:sz w:val="24"/>
          <w:szCs w:val="24"/>
        </w:rPr>
        <w:t xml:space="preserve"> </w:t>
      </w:r>
      <w:r w:rsidR="00D21799" w:rsidRPr="00C44B9C">
        <w:rPr>
          <w:rFonts w:eastAsia="Arial" w:cstheme="minorHAnsi"/>
          <w:sz w:val="24"/>
          <w:szCs w:val="24"/>
        </w:rPr>
        <w:t>of</w:t>
      </w:r>
      <w:r w:rsidR="00877D15" w:rsidRPr="00C44B9C">
        <w:rPr>
          <w:rFonts w:eastAsia="Arial" w:cstheme="minorHAnsi"/>
          <w:sz w:val="24"/>
          <w:szCs w:val="24"/>
        </w:rPr>
        <w:t xml:space="preserve"> the new Activities Committee will assist in devising new groups suitable for all stages of recovery as well as evaluating the current offerings and in turn, keeping the project current and fresh.</w:t>
      </w:r>
    </w:p>
    <w:p w14:paraId="23908E2B" w14:textId="2620B5AA" w:rsidR="00877D15" w:rsidRDefault="00D21799" w:rsidP="00D21799">
      <w:pPr>
        <w:spacing w:line="256" w:lineRule="auto"/>
        <w:ind w:left="720" w:hanging="720"/>
        <w:rPr>
          <w:rFonts w:eastAsia="Arial" w:cstheme="minorHAnsi"/>
          <w:sz w:val="24"/>
          <w:szCs w:val="24"/>
        </w:rPr>
      </w:pPr>
      <w:r w:rsidRPr="00D21799">
        <w:rPr>
          <w:rFonts w:eastAsia="Arial" w:cstheme="minorHAnsi"/>
          <w:sz w:val="24"/>
          <w:szCs w:val="24"/>
        </w:rPr>
        <w:t>55</w:t>
      </w:r>
      <w:r>
        <w:rPr>
          <w:rFonts w:eastAsia="Arial" w:cstheme="minorHAnsi"/>
          <w:b/>
          <w:bCs/>
          <w:sz w:val="24"/>
          <w:szCs w:val="24"/>
        </w:rPr>
        <w:t>.</w:t>
      </w:r>
      <w:r>
        <w:rPr>
          <w:rFonts w:eastAsia="Arial" w:cstheme="minorHAnsi"/>
          <w:b/>
          <w:bCs/>
          <w:sz w:val="24"/>
          <w:szCs w:val="24"/>
        </w:rPr>
        <w:tab/>
      </w:r>
      <w:r w:rsidR="00877D15" w:rsidRPr="00C44B9C">
        <w:rPr>
          <w:rFonts w:eastAsia="Arial" w:cstheme="minorHAnsi"/>
          <w:b/>
          <w:bCs/>
          <w:sz w:val="24"/>
          <w:szCs w:val="24"/>
        </w:rPr>
        <w:t>Enhanced Social Media Output and Engagement</w:t>
      </w:r>
      <w:r>
        <w:rPr>
          <w:rFonts w:eastAsia="Arial" w:cstheme="minorHAnsi"/>
          <w:b/>
          <w:bCs/>
          <w:sz w:val="24"/>
          <w:szCs w:val="24"/>
        </w:rPr>
        <w:t xml:space="preserve"> - </w:t>
      </w:r>
      <w:r w:rsidR="00877D15" w:rsidRPr="00C44B9C">
        <w:rPr>
          <w:rFonts w:eastAsia="Arial" w:cstheme="minorHAnsi"/>
          <w:sz w:val="24"/>
          <w:szCs w:val="24"/>
        </w:rPr>
        <w:t>The ERA team has worked diligently on the project’s social media output, with more focus on recording experiences as well as speedy responses to queries</w:t>
      </w:r>
      <w:r w:rsidR="00BF4E15" w:rsidRPr="00C44B9C">
        <w:rPr>
          <w:rFonts w:eastAsia="Arial" w:cstheme="minorHAnsi"/>
          <w:sz w:val="24"/>
          <w:szCs w:val="24"/>
        </w:rPr>
        <w:t xml:space="preserve">. </w:t>
      </w:r>
      <w:r w:rsidRPr="00C44B9C">
        <w:rPr>
          <w:rFonts w:eastAsia="Arial" w:cstheme="minorHAnsi"/>
          <w:sz w:val="24"/>
          <w:szCs w:val="24"/>
        </w:rPr>
        <w:t xml:space="preserve">Over the </w:t>
      </w:r>
      <w:r>
        <w:rPr>
          <w:rFonts w:eastAsia="Arial" w:cstheme="minorHAnsi"/>
          <w:sz w:val="24"/>
          <w:szCs w:val="24"/>
        </w:rPr>
        <w:t xml:space="preserve">last </w:t>
      </w:r>
      <w:r w:rsidRPr="00C44B9C">
        <w:rPr>
          <w:rFonts w:eastAsia="Arial" w:cstheme="minorHAnsi"/>
          <w:sz w:val="24"/>
          <w:szCs w:val="24"/>
        </w:rPr>
        <w:t xml:space="preserve">6 month period, our </w:t>
      </w:r>
      <w:r>
        <w:rPr>
          <w:rFonts w:eastAsia="Arial" w:cstheme="minorHAnsi"/>
          <w:sz w:val="24"/>
          <w:szCs w:val="24"/>
        </w:rPr>
        <w:t>r</w:t>
      </w:r>
      <w:r w:rsidRPr="00C44B9C">
        <w:rPr>
          <w:rFonts w:eastAsia="Arial" w:cstheme="minorHAnsi"/>
          <w:sz w:val="24"/>
          <w:szCs w:val="24"/>
        </w:rPr>
        <w:t>each has increase</w:t>
      </w:r>
      <w:r>
        <w:rPr>
          <w:rFonts w:eastAsia="Arial" w:cstheme="minorHAnsi"/>
          <w:sz w:val="24"/>
          <w:szCs w:val="24"/>
        </w:rPr>
        <w:t>d</w:t>
      </w:r>
      <w:r w:rsidRPr="00C44B9C">
        <w:rPr>
          <w:rFonts w:eastAsia="Arial" w:cstheme="minorHAnsi"/>
          <w:sz w:val="24"/>
          <w:szCs w:val="24"/>
        </w:rPr>
        <w:t xml:space="preserve"> </w:t>
      </w:r>
      <w:r>
        <w:rPr>
          <w:rFonts w:eastAsia="Arial" w:cstheme="minorHAnsi"/>
          <w:sz w:val="24"/>
          <w:szCs w:val="24"/>
        </w:rPr>
        <w:t>by nearly 20</w:t>
      </w:r>
      <w:r w:rsidR="00BF4E15">
        <w:rPr>
          <w:rFonts w:eastAsia="Arial" w:cstheme="minorHAnsi"/>
          <w:sz w:val="24"/>
          <w:szCs w:val="24"/>
        </w:rPr>
        <w:t>% to</w:t>
      </w:r>
      <w:r w:rsidRPr="00C44B9C">
        <w:rPr>
          <w:rFonts w:eastAsia="Arial" w:cstheme="minorHAnsi"/>
          <w:sz w:val="24"/>
          <w:szCs w:val="24"/>
        </w:rPr>
        <w:t xml:space="preserve"> 1</w:t>
      </w:r>
      <w:r>
        <w:rPr>
          <w:rFonts w:eastAsia="Arial" w:cstheme="minorHAnsi"/>
          <w:sz w:val="24"/>
          <w:szCs w:val="24"/>
        </w:rPr>
        <w:t>,</w:t>
      </w:r>
      <w:r w:rsidRPr="00C44B9C">
        <w:rPr>
          <w:rFonts w:eastAsia="Arial" w:cstheme="minorHAnsi"/>
          <w:sz w:val="24"/>
          <w:szCs w:val="24"/>
        </w:rPr>
        <w:t xml:space="preserve">451 </w:t>
      </w:r>
      <w:r w:rsidR="00BF4E15" w:rsidRPr="00C44B9C">
        <w:rPr>
          <w:rFonts w:eastAsia="Arial" w:cstheme="minorHAnsi"/>
          <w:sz w:val="24"/>
          <w:szCs w:val="24"/>
        </w:rPr>
        <w:t xml:space="preserve">followers </w:t>
      </w:r>
      <w:r w:rsidR="00BF4E15">
        <w:rPr>
          <w:rFonts w:eastAsia="Arial" w:cstheme="minorHAnsi"/>
          <w:sz w:val="24"/>
          <w:szCs w:val="24"/>
        </w:rPr>
        <w:t>with</w:t>
      </w:r>
      <w:r w:rsidRPr="00C44B9C">
        <w:rPr>
          <w:rFonts w:eastAsia="Arial" w:cstheme="minorHAnsi"/>
          <w:sz w:val="24"/>
          <w:szCs w:val="24"/>
        </w:rPr>
        <w:t xml:space="preserve"> </w:t>
      </w:r>
      <w:r>
        <w:rPr>
          <w:rFonts w:eastAsia="Arial" w:cstheme="minorHAnsi"/>
          <w:sz w:val="24"/>
          <w:szCs w:val="24"/>
        </w:rPr>
        <w:t>almost 15,500</w:t>
      </w:r>
      <w:r w:rsidRPr="00C44B9C">
        <w:rPr>
          <w:rFonts w:eastAsia="Arial" w:cstheme="minorHAnsi"/>
          <w:sz w:val="24"/>
          <w:szCs w:val="24"/>
        </w:rPr>
        <w:t xml:space="preserve"> visits </w:t>
      </w:r>
      <w:r w:rsidR="00BF4E15" w:rsidRPr="00C44B9C">
        <w:rPr>
          <w:rFonts w:eastAsia="Arial" w:cstheme="minorHAnsi"/>
          <w:sz w:val="24"/>
          <w:szCs w:val="24"/>
        </w:rPr>
        <w:t xml:space="preserve">to </w:t>
      </w:r>
      <w:r>
        <w:rPr>
          <w:rFonts w:eastAsia="Arial" w:cstheme="minorHAnsi"/>
          <w:sz w:val="24"/>
          <w:szCs w:val="24"/>
        </w:rPr>
        <w:t xml:space="preserve">social media </w:t>
      </w:r>
      <w:r w:rsidRPr="00C44B9C">
        <w:rPr>
          <w:rFonts w:eastAsia="Arial" w:cstheme="minorHAnsi"/>
          <w:sz w:val="24"/>
          <w:szCs w:val="24"/>
        </w:rPr>
        <w:t>page</w:t>
      </w:r>
      <w:r w:rsidR="00BF4E15">
        <w:rPr>
          <w:rFonts w:eastAsia="Arial" w:cstheme="minorHAnsi"/>
          <w:sz w:val="24"/>
          <w:szCs w:val="24"/>
        </w:rPr>
        <w:t>s</w:t>
      </w:r>
      <w:r w:rsidRPr="00C44B9C">
        <w:rPr>
          <w:rFonts w:eastAsia="Arial" w:cstheme="minorHAnsi"/>
          <w:sz w:val="24"/>
          <w:szCs w:val="24"/>
        </w:rPr>
        <w:t xml:space="preserve"> in that time.</w:t>
      </w:r>
      <w:r>
        <w:rPr>
          <w:rFonts w:eastAsia="Arial" w:cstheme="minorHAnsi"/>
          <w:sz w:val="24"/>
          <w:szCs w:val="24"/>
        </w:rPr>
        <w:t xml:space="preserve"> </w:t>
      </w:r>
    </w:p>
    <w:p w14:paraId="58606B03" w14:textId="2CF78A12" w:rsidR="00877D15" w:rsidRPr="00D21799" w:rsidRDefault="00877D15" w:rsidP="009A7BC5">
      <w:pPr>
        <w:pStyle w:val="Title"/>
        <w:rPr>
          <w:rFonts w:asciiTheme="minorHAnsi" w:hAnsiTheme="minorHAnsi" w:cstheme="minorHAnsi"/>
          <w:b/>
          <w:bCs/>
          <w:color w:val="4472C4" w:themeColor="accent1"/>
          <w:sz w:val="32"/>
          <w:szCs w:val="32"/>
        </w:rPr>
      </w:pPr>
      <w:bookmarkStart w:id="29" w:name="_Toc174006756"/>
      <w:bookmarkStart w:id="30" w:name="_Toc106377045"/>
      <w:r w:rsidRPr="00D21799">
        <w:rPr>
          <w:rFonts w:asciiTheme="minorHAnsi" w:hAnsiTheme="minorHAnsi" w:cstheme="minorHAnsi"/>
          <w:b/>
          <w:bCs/>
          <w:color w:val="4472C4" w:themeColor="accent1"/>
          <w:sz w:val="32"/>
          <w:szCs w:val="32"/>
        </w:rPr>
        <w:t xml:space="preserve">Getting it right for </w:t>
      </w:r>
      <w:r w:rsidR="00407B15">
        <w:rPr>
          <w:rFonts w:asciiTheme="minorHAnsi" w:hAnsiTheme="minorHAnsi" w:cstheme="minorHAnsi"/>
          <w:b/>
          <w:bCs/>
          <w:color w:val="4472C4" w:themeColor="accent1"/>
          <w:sz w:val="32"/>
          <w:szCs w:val="32"/>
        </w:rPr>
        <w:t>c</w:t>
      </w:r>
      <w:r w:rsidRPr="00D21799">
        <w:rPr>
          <w:rFonts w:asciiTheme="minorHAnsi" w:hAnsiTheme="minorHAnsi" w:cstheme="minorHAnsi"/>
          <w:b/>
          <w:bCs/>
          <w:color w:val="4472C4" w:themeColor="accent1"/>
          <w:sz w:val="32"/>
          <w:szCs w:val="32"/>
        </w:rPr>
        <w:t>hildren, young people, and families</w:t>
      </w:r>
      <w:bookmarkEnd w:id="29"/>
    </w:p>
    <w:p w14:paraId="51BAC737" w14:textId="26A1BC00" w:rsidR="00877D15" w:rsidRPr="00C44B9C" w:rsidRDefault="00D21799" w:rsidP="00D21799">
      <w:pPr>
        <w:ind w:left="720" w:hanging="720"/>
        <w:rPr>
          <w:rFonts w:cstheme="minorHAnsi"/>
          <w:sz w:val="24"/>
          <w:szCs w:val="24"/>
        </w:rPr>
      </w:pPr>
      <w:r>
        <w:rPr>
          <w:rFonts w:cstheme="minorHAnsi"/>
          <w:sz w:val="24"/>
          <w:szCs w:val="24"/>
        </w:rPr>
        <w:t>56.</w:t>
      </w:r>
      <w:r>
        <w:rPr>
          <w:rFonts w:cstheme="minorHAnsi"/>
          <w:sz w:val="24"/>
          <w:szCs w:val="24"/>
        </w:rPr>
        <w:tab/>
      </w:r>
      <w:r w:rsidR="00877D15" w:rsidRPr="00C44B9C">
        <w:rPr>
          <w:rFonts w:cstheme="minorHAnsi"/>
          <w:sz w:val="24"/>
          <w:szCs w:val="24"/>
        </w:rPr>
        <w:t xml:space="preserve">People using substances problematically often have a range of complex needs which need to be addressed to help them stay safe and progress in their recovery. Parents have additional responsibilities and stresses in creating a safe, </w:t>
      </w:r>
      <w:r w:rsidR="00BF4E15" w:rsidRPr="00C44B9C">
        <w:rPr>
          <w:rFonts w:cstheme="minorHAnsi"/>
          <w:sz w:val="24"/>
          <w:szCs w:val="24"/>
        </w:rPr>
        <w:t>healthy,</w:t>
      </w:r>
      <w:r w:rsidR="00877D15" w:rsidRPr="00C44B9C">
        <w:rPr>
          <w:rFonts w:cstheme="minorHAnsi"/>
          <w:sz w:val="24"/>
          <w:szCs w:val="24"/>
        </w:rPr>
        <w:t xml:space="preserve"> and nurturing </w:t>
      </w:r>
      <w:r w:rsidR="00877D15" w:rsidRPr="00C44B9C">
        <w:rPr>
          <w:rFonts w:cstheme="minorHAnsi"/>
          <w:sz w:val="24"/>
          <w:szCs w:val="24"/>
        </w:rPr>
        <w:lastRenderedPageBreak/>
        <w:t xml:space="preserve">environment for their families while trying to deal with their own health concerns. Parents often feel a heightened sense of stigma and shame and concern about having their children removed from their care which presents barriers for them to engage with services. EADP works with partners through the Whole Family Approach Collaborative to develop a whole family approach and to ‘Keep </w:t>
      </w:r>
      <w:r w:rsidR="00BF4E15" w:rsidRPr="00C44B9C">
        <w:rPr>
          <w:rFonts w:cstheme="minorHAnsi"/>
          <w:sz w:val="24"/>
          <w:szCs w:val="24"/>
        </w:rPr>
        <w:t>the</w:t>
      </w:r>
      <w:r w:rsidR="00877D15" w:rsidRPr="00C44B9C">
        <w:rPr>
          <w:rFonts w:cstheme="minorHAnsi"/>
          <w:sz w:val="24"/>
          <w:szCs w:val="24"/>
        </w:rPr>
        <w:t xml:space="preserve"> Promise’ in line with Scottish Government’s </w:t>
      </w:r>
      <w:r w:rsidR="00877D15" w:rsidRPr="00C44B9C">
        <w:rPr>
          <w:rFonts w:cstheme="minorHAnsi"/>
          <w:i/>
          <w:iCs/>
          <w:sz w:val="24"/>
          <w:szCs w:val="24"/>
        </w:rPr>
        <w:t>‘Families Affected by Drug and Alcohol Use in Scotland: A Framework for Holistic Whole Family Approaches and Family Inclusive Practice (2021)’</w:t>
      </w:r>
      <w:r w:rsidR="00877D15" w:rsidRPr="00C44B9C">
        <w:rPr>
          <w:rFonts w:cstheme="minorHAnsi"/>
          <w:sz w:val="24"/>
          <w:szCs w:val="24"/>
        </w:rPr>
        <w:t xml:space="preserve"> guidance for drug and alcohol services. </w:t>
      </w:r>
    </w:p>
    <w:p w14:paraId="057973E8" w14:textId="1387CF40" w:rsidR="00877D15" w:rsidRPr="00C44B9C" w:rsidRDefault="00D21799" w:rsidP="00D21799">
      <w:pPr>
        <w:ind w:left="720" w:hanging="720"/>
        <w:rPr>
          <w:rFonts w:cstheme="minorHAnsi"/>
          <w:sz w:val="24"/>
          <w:szCs w:val="24"/>
        </w:rPr>
      </w:pPr>
      <w:r>
        <w:rPr>
          <w:rFonts w:cstheme="minorHAnsi"/>
          <w:sz w:val="24"/>
          <w:szCs w:val="24"/>
        </w:rPr>
        <w:t>57.</w:t>
      </w:r>
      <w:r>
        <w:rPr>
          <w:rFonts w:cstheme="minorHAnsi"/>
          <w:sz w:val="24"/>
          <w:szCs w:val="24"/>
        </w:rPr>
        <w:tab/>
      </w:r>
      <w:r w:rsidR="00FD0DCE" w:rsidRPr="00C44B9C">
        <w:rPr>
          <w:rFonts w:cstheme="minorHAnsi"/>
          <w:sz w:val="24"/>
          <w:szCs w:val="24"/>
        </w:rPr>
        <w:t xml:space="preserve">Edinburgh’s </w:t>
      </w:r>
      <w:r w:rsidR="00877D15" w:rsidRPr="00C44B9C">
        <w:rPr>
          <w:rFonts w:cstheme="minorHAnsi"/>
          <w:sz w:val="24"/>
          <w:szCs w:val="24"/>
        </w:rPr>
        <w:t xml:space="preserve">local response is to provide services which seek to provide whole family support alongside effective treatment for substance use to promote whole family recovery. A range of services designed to support and complement each other and work alongside adult treatment services has been developed to better support adults and families. </w:t>
      </w:r>
    </w:p>
    <w:p w14:paraId="4B7C7CD4" w14:textId="0782CF5D" w:rsidR="00877D15" w:rsidRDefault="00CA2E72" w:rsidP="00CA2E72">
      <w:pPr>
        <w:pStyle w:val="Heading2"/>
        <w:ind w:left="720" w:hanging="720"/>
        <w:rPr>
          <w:rFonts w:asciiTheme="minorHAnsi" w:hAnsiTheme="minorHAnsi" w:cstheme="minorHAnsi"/>
          <w:color w:val="auto"/>
          <w:sz w:val="24"/>
          <w:szCs w:val="24"/>
        </w:rPr>
      </w:pPr>
      <w:bookmarkStart w:id="31" w:name="_Toc174006757"/>
      <w:r w:rsidRPr="00864715">
        <w:rPr>
          <w:rFonts w:asciiTheme="minorHAnsi" w:hAnsiTheme="minorHAnsi" w:cstheme="minorHAnsi"/>
          <w:color w:val="auto"/>
          <w:sz w:val="24"/>
          <w:szCs w:val="24"/>
        </w:rPr>
        <w:t>58.</w:t>
      </w:r>
      <w:r>
        <w:rPr>
          <w:rFonts w:asciiTheme="minorHAnsi" w:hAnsiTheme="minorHAnsi" w:cstheme="minorHAnsi"/>
          <w:sz w:val="24"/>
          <w:szCs w:val="24"/>
        </w:rPr>
        <w:tab/>
      </w:r>
      <w:r w:rsidR="00877D15" w:rsidRPr="00CA2E72">
        <w:rPr>
          <w:rFonts w:asciiTheme="minorHAnsi" w:hAnsiTheme="minorHAnsi" w:cstheme="minorHAnsi"/>
          <w:b/>
          <w:bCs/>
          <w:sz w:val="24"/>
          <w:szCs w:val="24"/>
        </w:rPr>
        <w:t>Children Affected by Parental Substance Use</w:t>
      </w:r>
      <w:r w:rsidRPr="00CA2E72">
        <w:rPr>
          <w:rFonts w:asciiTheme="minorHAnsi" w:hAnsiTheme="minorHAnsi" w:cstheme="minorHAnsi"/>
          <w:b/>
          <w:bCs/>
          <w:sz w:val="24"/>
          <w:szCs w:val="24"/>
        </w:rPr>
        <w:t xml:space="preserve"> (CAPSU)</w:t>
      </w:r>
      <w:r>
        <w:rPr>
          <w:rFonts w:asciiTheme="minorHAnsi" w:hAnsiTheme="minorHAnsi" w:cstheme="minorHAnsi"/>
          <w:b/>
          <w:bCs/>
          <w:sz w:val="24"/>
          <w:szCs w:val="24"/>
        </w:rPr>
        <w:t xml:space="preserve"> </w:t>
      </w:r>
      <w:r w:rsidRPr="00CA2E72">
        <w:rPr>
          <w:rFonts w:asciiTheme="minorHAnsi" w:hAnsiTheme="minorHAnsi" w:cstheme="minorHAnsi"/>
          <w:b/>
          <w:bCs/>
          <w:color w:val="auto"/>
          <w:sz w:val="24"/>
          <w:szCs w:val="24"/>
        </w:rPr>
        <w:t xml:space="preserve">- </w:t>
      </w:r>
      <w:r w:rsidR="00877D15" w:rsidRPr="00CA2E72">
        <w:rPr>
          <w:rFonts w:asciiTheme="minorHAnsi" w:hAnsiTheme="minorHAnsi" w:cstheme="minorHAnsi"/>
          <w:color w:val="auto"/>
          <w:sz w:val="24"/>
          <w:szCs w:val="24"/>
        </w:rPr>
        <w:t xml:space="preserve">A specialist service is jointly commissioned by the EADP and CEC Children, Education and Justice to provide structured interventions for families which include children and where parental substance use is an issue. It is delivered by </w:t>
      </w:r>
      <w:hyperlink r:id="rId18" w:history="1">
        <w:r w:rsidR="00877D15" w:rsidRPr="00CA2E72">
          <w:rPr>
            <w:rStyle w:val="Hyperlink"/>
            <w:rFonts w:asciiTheme="minorHAnsi" w:hAnsiTheme="minorHAnsi" w:cstheme="minorHAnsi"/>
            <w:color w:val="auto"/>
            <w:sz w:val="24"/>
            <w:szCs w:val="24"/>
          </w:rPr>
          <w:t>Circle</w:t>
        </w:r>
      </w:hyperlink>
      <w:r w:rsidR="00877D15" w:rsidRPr="00CA2E72">
        <w:rPr>
          <w:rFonts w:asciiTheme="minorHAnsi" w:hAnsiTheme="minorHAnsi" w:cstheme="minorHAnsi"/>
          <w:color w:val="auto"/>
          <w:sz w:val="24"/>
          <w:szCs w:val="24"/>
        </w:rPr>
        <w:t xml:space="preserve"> and </w:t>
      </w:r>
      <w:hyperlink r:id="rId19" w:history="1">
        <w:r w:rsidR="00877D15" w:rsidRPr="00CA2E72">
          <w:rPr>
            <w:rStyle w:val="Hyperlink"/>
            <w:rFonts w:asciiTheme="minorHAnsi" w:hAnsiTheme="minorHAnsi" w:cstheme="minorHAnsi"/>
            <w:color w:val="auto"/>
            <w:sz w:val="24"/>
            <w:szCs w:val="24"/>
          </w:rPr>
          <w:t>Sunflower Garden</w:t>
        </w:r>
      </w:hyperlink>
      <w:r w:rsidR="00877D15" w:rsidRPr="00CA2E72">
        <w:rPr>
          <w:rFonts w:asciiTheme="minorHAnsi" w:hAnsiTheme="minorHAnsi" w:cstheme="minorHAnsi"/>
          <w:color w:val="auto"/>
          <w:sz w:val="24"/>
          <w:szCs w:val="24"/>
        </w:rPr>
        <w:t xml:space="preserve"> and has been operating since 2016.</w:t>
      </w:r>
      <w:bookmarkEnd w:id="31"/>
    </w:p>
    <w:p w14:paraId="2E3662A8" w14:textId="77777777" w:rsidR="00CA2E72" w:rsidRDefault="00CA2E72" w:rsidP="00D60542">
      <w:pPr>
        <w:rPr>
          <w:rFonts w:cstheme="minorHAnsi"/>
          <w:sz w:val="24"/>
          <w:szCs w:val="24"/>
        </w:rPr>
      </w:pPr>
    </w:p>
    <w:p w14:paraId="01CDA7F0" w14:textId="7F24476A" w:rsidR="00877D15" w:rsidRPr="00CA2E72" w:rsidRDefault="00CA2E72" w:rsidP="00CA2E72">
      <w:pPr>
        <w:ind w:left="720" w:hanging="720"/>
        <w:rPr>
          <w:rFonts w:cstheme="minorHAnsi"/>
          <w:sz w:val="24"/>
          <w:szCs w:val="24"/>
        </w:rPr>
      </w:pPr>
      <w:r>
        <w:rPr>
          <w:rFonts w:cstheme="minorHAnsi"/>
          <w:sz w:val="24"/>
          <w:szCs w:val="24"/>
        </w:rPr>
        <w:t>59.</w:t>
      </w:r>
      <w:r>
        <w:rPr>
          <w:rFonts w:cstheme="minorHAnsi"/>
          <w:sz w:val="24"/>
          <w:szCs w:val="24"/>
        </w:rPr>
        <w:tab/>
      </w:r>
      <w:r w:rsidR="00877D15" w:rsidRPr="00CA2E72">
        <w:rPr>
          <w:rFonts w:cstheme="minorHAnsi"/>
          <w:sz w:val="24"/>
          <w:szCs w:val="24"/>
        </w:rPr>
        <w:t>Circle received 79 new referrals in 2023-24 and 55 progressed into the service</w:t>
      </w:r>
      <w:r w:rsidR="00BF4E15" w:rsidRPr="00CA2E72">
        <w:rPr>
          <w:rFonts w:cstheme="minorHAnsi"/>
          <w:sz w:val="24"/>
          <w:szCs w:val="24"/>
        </w:rPr>
        <w:t xml:space="preserve">. </w:t>
      </w:r>
      <w:r w:rsidR="00BF4E15">
        <w:rPr>
          <w:rFonts w:cstheme="minorHAnsi"/>
          <w:sz w:val="24"/>
          <w:szCs w:val="24"/>
        </w:rPr>
        <w:t>O</w:t>
      </w:r>
      <w:r w:rsidR="00BF4E15" w:rsidRPr="00CA2E72">
        <w:rPr>
          <w:rFonts w:cstheme="minorHAnsi"/>
          <w:sz w:val="24"/>
          <w:szCs w:val="24"/>
        </w:rPr>
        <w:t>verall,</w:t>
      </w:r>
      <w:r w:rsidR="00877D15" w:rsidRPr="00CA2E72">
        <w:rPr>
          <w:rFonts w:cstheme="minorHAnsi"/>
          <w:sz w:val="24"/>
          <w:szCs w:val="24"/>
        </w:rPr>
        <w:t xml:space="preserve"> they supported 97 </w:t>
      </w:r>
      <w:r w:rsidR="00407B15" w:rsidRPr="00CA2E72">
        <w:rPr>
          <w:rFonts w:cstheme="minorHAnsi"/>
          <w:sz w:val="24"/>
          <w:szCs w:val="24"/>
        </w:rPr>
        <w:t xml:space="preserve">families </w:t>
      </w:r>
      <w:r w:rsidR="00407B15">
        <w:rPr>
          <w:rFonts w:cstheme="minorHAnsi"/>
          <w:sz w:val="24"/>
          <w:szCs w:val="24"/>
        </w:rPr>
        <w:t>comprising</w:t>
      </w:r>
      <w:r>
        <w:rPr>
          <w:rFonts w:cstheme="minorHAnsi"/>
          <w:sz w:val="24"/>
          <w:szCs w:val="24"/>
        </w:rPr>
        <w:t xml:space="preserve"> </w:t>
      </w:r>
      <w:r w:rsidR="00877D15" w:rsidRPr="00CA2E72">
        <w:rPr>
          <w:rFonts w:cstheme="minorHAnsi"/>
          <w:sz w:val="24"/>
          <w:szCs w:val="24"/>
        </w:rPr>
        <w:t>117 parents and 155 children</w:t>
      </w:r>
      <w:r w:rsidR="00BF4E15" w:rsidRPr="00CA2E72">
        <w:rPr>
          <w:rFonts w:cstheme="minorHAnsi"/>
          <w:sz w:val="24"/>
          <w:szCs w:val="24"/>
        </w:rPr>
        <w:t xml:space="preserve">. </w:t>
      </w:r>
      <w:r>
        <w:rPr>
          <w:rFonts w:cstheme="minorHAnsi"/>
          <w:sz w:val="24"/>
          <w:szCs w:val="24"/>
        </w:rPr>
        <w:t>Circle</w:t>
      </w:r>
      <w:r w:rsidR="00877D15" w:rsidRPr="00CA2E72">
        <w:rPr>
          <w:rFonts w:cstheme="minorHAnsi"/>
          <w:sz w:val="24"/>
          <w:szCs w:val="24"/>
        </w:rPr>
        <w:t xml:space="preserve"> offer practical and emotional support to whole families ot achieve</w:t>
      </w:r>
    </w:p>
    <w:p w14:paraId="49B04A46" w14:textId="3467484B" w:rsidR="00877D15" w:rsidRPr="00C44B9C" w:rsidRDefault="00877D15" w:rsidP="002A7CD6">
      <w:pPr>
        <w:pStyle w:val="ListParagraph"/>
        <w:numPr>
          <w:ilvl w:val="0"/>
          <w:numId w:val="12"/>
        </w:numPr>
        <w:rPr>
          <w:rFonts w:cstheme="minorHAnsi"/>
          <w:sz w:val="24"/>
          <w:szCs w:val="24"/>
        </w:rPr>
      </w:pPr>
      <w:r w:rsidRPr="00C44B9C">
        <w:rPr>
          <w:rFonts w:cstheme="minorHAnsi"/>
          <w:sz w:val="24"/>
          <w:szCs w:val="24"/>
        </w:rPr>
        <w:t xml:space="preserve">Improved health, </w:t>
      </w:r>
      <w:r w:rsidR="00BF4E15" w:rsidRPr="00C44B9C">
        <w:rPr>
          <w:rFonts w:cstheme="minorHAnsi"/>
          <w:sz w:val="24"/>
          <w:szCs w:val="24"/>
        </w:rPr>
        <w:t>wellbeing,</w:t>
      </w:r>
      <w:r w:rsidRPr="00C44B9C">
        <w:rPr>
          <w:rFonts w:cstheme="minorHAnsi"/>
          <w:sz w:val="24"/>
          <w:szCs w:val="24"/>
        </w:rPr>
        <w:t xml:space="preserve"> and quality of life for parents who use/ are in recovery from drug and alcohol use</w:t>
      </w:r>
    </w:p>
    <w:p w14:paraId="0B1E4018" w14:textId="77777777" w:rsidR="00877D15" w:rsidRPr="00C44B9C" w:rsidRDefault="00877D15" w:rsidP="002A7CD6">
      <w:pPr>
        <w:pStyle w:val="ListParagraph"/>
        <w:numPr>
          <w:ilvl w:val="0"/>
          <w:numId w:val="12"/>
        </w:numPr>
        <w:rPr>
          <w:rFonts w:cstheme="minorHAnsi"/>
          <w:sz w:val="24"/>
          <w:szCs w:val="24"/>
        </w:rPr>
      </w:pPr>
      <w:r w:rsidRPr="00C44B9C">
        <w:rPr>
          <w:rFonts w:cstheme="minorHAnsi"/>
          <w:sz w:val="24"/>
          <w:szCs w:val="24"/>
        </w:rPr>
        <w:t>Improved health and wellbeing of children affected by parental substance use</w:t>
      </w:r>
    </w:p>
    <w:p w14:paraId="228D88FA" w14:textId="1D8084C4" w:rsidR="00877D15" w:rsidRPr="00C44B9C" w:rsidRDefault="00877D15" w:rsidP="002A7CD6">
      <w:pPr>
        <w:pStyle w:val="ListParagraph"/>
        <w:numPr>
          <w:ilvl w:val="0"/>
          <w:numId w:val="12"/>
        </w:numPr>
        <w:rPr>
          <w:rFonts w:cstheme="minorHAnsi"/>
          <w:sz w:val="24"/>
          <w:szCs w:val="24"/>
        </w:rPr>
      </w:pPr>
      <w:r w:rsidRPr="00C44B9C">
        <w:rPr>
          <w:rFonts w:cstheme="minorHAnsi"/>
          <w:sz w:val="24"/>
          <w:szCs w:val="24"/>
        </w:rPr>
        <w:t>Improved parenting skills and parental capacity including boundary setting; emotion regulation; dealing with challenging behaviour</w:t>
      </w:r>
      <w:r w:rsidR="00CA2E72">
        <w:rPr>
          <w:rFonts w:cstheme="minorHAnsi"/>
          <w:sz w:val="24"/>
          <w:szCs w:val="24"/>
        </w:rPr>
        <w:t xml:space="preserve"> </w:t>
      </w:r>
      <w:r w:rsidR="00407B15">
        <w:rPr>
          <w:rFonts w:cstheme="minorHAnsi"/>
          <w:sz w:val="24"/>
          <w:szCs w:val="24"/>
        </w:rPr>
        <w:t xml:space="preserve">and </w:t>
      </w:r>
      <w:r w:rsidR="00407B15" w:rsidRPr="00C44B9C">
        <w:rPr>
          <w:rFonts w:cstheme="minorHAnsi"/>
          <w:sz w:val="24"/>
          <w:szCs w:val="24"/>
        </w:rPr>
        <w:t>establishing</w:t>
      </w:r>
      <w:r w:rsidRPr="00C44B9C">
        <w:rPr>
          <w:rFonts w:cstheme="minorHAnsi"/>
          <w:sz w:val="24"/>
          <w:szCs w:val="24"/>
        </w:rPr>
        <w:t xml:space="preserve"> routines </w:t>
      </w:r>
    </w:p>
    <w:p w14:paraId="2ACC9166" w14:textId="2180176D" w:rsidR="00877D15" w:rsidRPr="00C44B9C" w:rsidRDefault="00CA2E72" w:rsidP="00CA2E72">
      <w:pPr>
        <w:ind w:left="720" w:hanging="720"/>
        <w:rPr>
          <w:rFonts w:cstheme="minorHAnsi"/>
          <w:sz w:val="24"/>
          <w:szCs w:val="24"/>
        </w:rPr>
      </w:pPr>
      <w:r>
        <w:rPr>
          <w:rFonts w:cstheme="minorHAnsi"/>
          <w:sz w:val="24"/>
          <w:szCs w:val="24"/>
        </w:rPr>
        <w:t>60.</w:t>
      </w:r>
      <w:r>
        <w:rPr>
          <w:rFonts w:cstheme="minorHAnsi"/>
          <w:sz w:val="24"/>
          <w:szCs w:val="24"/>
        </w:rPr>
        <w:tab/>
      </w:r>
      <w:r w:rsidR="00877D15" w:rsidRPr="00C44B9C">
        <w:rPr>
          <w:rFonts w:cstheme="minorHAnsi"/>
          <w:sz w:val="24"/>
          <w:szCs w:val="24"/>
        </w:rPr>
        <w:t>Circle measure outcomes which are linked to the SHANARRI indicators. The figures below relate to families supported over the period, where both the outcome was relevant, and a baseline and at least one other set of outcomes was recorded</w:t>
      </w:r>
      <w:r w:rsidR="00BF4E15" w:rsidRPr="00C44B9C">
        <w:rPr>
          <w:rFonts w:cstheme="minorHAnsi"/>
          <w:sz w:val="24"/>
          <w:szCs w:val="24"/>
        </w:rPr>
        <w:t xml:space="preserve">. </w:t>
      </w:r>
    </w:p>
    <w:tbl>
      <w:tblPr>
        <w:tblW w:w="7087" w:type="dxa"/>
        <w:tblInd w:w="846" w:type="dxa"/>
        <w:tblLook w:val="04A0" w:firstRow="1" w:lastRow="0" w:firstColumn="1" w:lastColumn="0" w:noHBand="0" w:noVBand="1"/>
      </w:tblPr>
      <w:tblGrid>
        <w:gridCol w:w="1467"/>
        <w:gridCol w:w="5620"/>
      </w:tblGrid>
      <w:tr w:rsidR="00FD0DCE" w:rsidRPr="00C44B9C" w14:paraId="6FDC8FDB" w14:textId="77777777" w:rsidTr="00CA2E72">
        <w:trPr>
          <w:trHeight w:val="610"/>
        </w:trPr>
        <w:tc>
          <w:tcPr>
            <w:tcW w:w="7087" w:type="dxa"/>
            <w:gridSpan w:val="2"/>
            <w:tcBorders>
              <w:top w:val="single" w:sz="4" w:space="0" w:color="auto"/>
              <w:left w:val="single" w:sz="4" w:space="0" w:color="auto"/>
              <w:bottom w:val="single" w:sz="4" w:space="0" w:color="auto"/>
              <w:right w:val="single" w:sz="4" w:space="0" w:color="auto"/>
            </w:tcBorders>
            <w:hideMark/>
          </w:tcPr>
          <w:p w14:paraId="04F2C0D6" w14:textId="1FE5D879" w:rsidR="00877D15" w:rsidRPr="00CA2E72" w:rsidRDefault="00877D15" w:rsidP="00D60542">
            <w:pPr>
              <w:rPr>
                <w:rFonts w:cstheme="minorHAnsi"/>
                <w:b/>
                <w:bCs/>
                <w:sz w:val="24"/>
                <w:szCs w:val="24"/>
              </w:rPr>
            </w:pPr>
            <w:r w:rsidRPr="00CA2E72">
              <w:rPr>
                <w:rFonts w:cstheme="minorHAnsi"/>
                <w:b/>
                <w:bCs/>
                <w:sz w:val="24"/>
                <w:szCs w:val="24"/>
              </w:rPr>
              <w:t xml:space="preserve">Change in </w:t>
            </w:r>
            <w:r w:rsidR="00FD0DCE" w:rsidRPr="00CA2E72">
              <w:rPr>
                <w:rFonts w:cstheme="minorHAnsi"/>
                <w:b/>
                <w:bCs/>
                <w:sz w:val="24"/>
                <w:szCs w:val="24"/>
              </w:rPr>
              <w:t xml:space="preserve">problem </w:t>
            </w:r>
            <w:r w:rsidRPr="00CA2E72">
              <w:rPr>
                <w:rFonts w:cstheme="minorHAnsi"/>
                <w:b/>
                <w:bCs/>
                <w:sz w:val="24"/>
                <w:szCs w:val="24"/>
              </w:rPr>
              <w:t xml:space="preserve">score over period of engagement </w:t>
            </w:r>
          </w:p>
        </w:tc>
      </w:tr>
      <w:tr w:rsidR="00FD0DCE" w:rsidRPr="00C44B9C" w14:paraId="0F0C1291" w14:textId="77777777" w:rsidTr="00CA2E72">
        <w:trPr>
          <w:trHeight w:val="290"/>
        </w:trPr>
        <w:tc>
          <w:tcPr>
            <w:tcW w:w="1467" w:type="dxa"/>
            <w:tcBorders>
              <w:top w:val="nil"/>
              <w:left w:val="single" w:sz="4" w:space="0" w:color="auto"/>
              <w:bottom w:val="single" w:sz="4" w:space="0" w:color="auto"/>
              <w:right w:val="single" w:sz="4" w:space="0" w:color="auto"/>
            </w:tcBorders>
            <w:noWrap/>
            <w:vAlign w:val="bottom"/>
            <w:hideMark/>
          </w:tcPr>
          <w:p w14:paraId="7B87B4A6" w14:textId="77777777" w:rsidR="00877D15" w:rsidRPr="00C44B9C" w:rsidRDefault="00877D15" w:rsidP="00D60542">
            <w:pPr>
              <w:rPr>
                <w:rFonts w:cstheme="minorHAnsi"/>
                <w:sz w:val="24"/>
                <w:szCs w:val="24"/>
              </w:rPr>
            </w:pPr>
            <w:r w:rsidRPr="00C44B9C">
              <w:rPr>
                <w:rFonts w:cstheme="minorHAnsi"/>
                <w:sz w:val="24"/>
                <w:szCs w:val="24"/>
              </w:rPr>
              <w:t xml:space="preserve">Negative </w:t>
            </w:r>
          </w:p>
        </w:tc>
        <w:tc>
          <w:tcPr>
            <w:tcW w:w="5620" w:type="dxa"/>
            <w:tcBorders>
              <w:top w:val="nil"/>
              <w:left w:val="nil"/>
              <w:bottom w:val="single" w:sz="4" w:space="0" w:color="auto"/>
              <w:right w:val="single" w:sz="4" w:space="0" w:color="auto"/>
            </w:tcBorders>
            <w:noWrap/>
            <w:vAlign w:val="bottom"/>
            <w:hideMark/>
          </w:tcPr>
          <w:p w14:paraId="202A3A52" w14:textId="77777777" w:rsidR="00877D15" w:rsidRPr="00C44B9C" w:rsidRDefault="00877D15" w:rsidP="00D60542">
            <w:pPr>
              <w:rPr>
                <w:rFonts w:cstheme="minorHAnsi"/>
                <w:sz w:val="24"/>
                <w:szCs w:val="24"/>
              </w:rPr>
            </w:pPr>
            <w:r w:rsidRPr="00C44B9C">
              <w:rPr>
                <w:rFonts w:cstheme="minorHAnsi"/>
                <w:sz w:val="24"/>
                <w:szCs w:val="24"/>
              </w:rPr>
              <w:t>12%</w:t>
            </w:r>
          </w:p>
        </w:tc>
      </w:tr>
      <w:tr w:rsidR="00FD0DCE" w:rsidRPr="00C44B9C" w14:paraId="638070D9" w14:textId="77777777" w:rsidTr="00CA2E72">
        <w:trPr>
          <w:trHeight w:val="290"/>
        </w:trPr>
        <w:tc>
          <w:tcPr>
            <w:tcW w:w="1467" w:type="dxa"/>
            <w:tcBorders>
              <w:top w:val="nil"/>
              <w:left w:val="single" w:sz="4" w:space="0" w:color="auto"/>
              <w:bottom w:val="single" w:sz="4" w:space="0" w:color="auto"/>
              <w:right w:val="single" w:sz="4" w:space="0" w:color="auto"/>
            </w:tcBorders>
            <w:noWrap/>
            <w:vAlign w:val="bottom"/>
            <w:hideMark/>
          </w:tcPr>
          <w:p w14:paraId="5D30EFAF" w14:textId="77777777" w:rsidR="00877D15" w:rsidRPr="00C44B9C" w:rsidRDefault="00877D15" w:rsidP="00D60542">
            <w:pPr>
              <w:rPr>
                <w:rFonts w:cstheme="minorHAnsi"/>
                <w:sz w:val="24"/>
                <w:szCs w:val="24"/>
              </w:rPr>
            </w:pPr>
            <w:r w:rsidRPr="00C44B9C">
              <w:rPr>
                <w:rFonts w:cstheme="minorHAnsi"/>
                <w:sz w:val="24"/>
                <w:szCs w:val="24"/>
              </w:rPr>
              <w:t>No Change</w:t>
            </w:r>
          </w:p>
        </w:tc>
        <w:tc>
          <w:tcPr>
            <w:tcW w:w="5620" w:type="dxa"/>
            <w:tcBorders>
              <w:top w:val="nil"/>
              <w:left w:val="nil"/>
              <w:bottom w:val="single" w:sz="4" w:space="0" w:color="auto"/>
              <w:right w:val="single" w:sz="4" w:space="0" w:color="auto"/>
            </w:tcBorders>
            <w:noWrap/>
            <w:vAlign w:val="bottom"/>
            <w:hideMark/>
          </w:tcPr>
          <w:p w14:paraId="3967F074" w14:textId="77777777" w:rsidR="00877D15" w:rsidRPr="00C44B9C" w:rsidRDefault="00877D15" w:rsidP="00D60542">
            <w:pPr>
              <w:rPr>
                <w:rFonts w:cstheme="minorHAnsi"/>
                <w:sz w:val="24"/>
                <w:szCs w:val="24"/>
              </w:rPr>
            </w:pPr>
            <w:r w:rsidRPr="00C44B9C">
              <w:rPr>
                <w:rFonts w:cstheme="minorHAnsi"/>
                <w:sz w:val="24"/>
                <w:szCs w:val="24"/>
              </w:rPr>
              <w:t>31%</w:t>
            </w:r>
          </w:p>
        </w:tc>
      </w:tr>
      <w:tr w:rsidR="00FD0DCE" w:rsidRPr="00C44B9C" w14:paraId="364CCCAF" w14:textId="77777777" w:rsidTr="00CA2E72">
        <w:trPr>
          <w:trHeight w:val="290"/>
        </w:trPr>
        <w:tc>
          <w:tcPr>
            <w:tcW w:w="1467" w:type="dxa"/>
            <w:tcBorders>
              <w:top w:val="nil"/>
              <w:left w:val="single" w:sz="4" w:space="0" w:color="auto"/>
              <w:bottom w:val="nil"/>
              <w:right w:val="single" w:sz="4" w:space="0" w:color="auto"/>
            </w:tcBorders>
            <w:noWrap/>
            <w:vAlign w:val="bottom"/>
            <w:hideMark/>
          </w:tcPr>
          <w:p w14:paraId="51762573" w14:textId="77777777" w:rsidR="00877D15" w:rsidRPr="00C44B9C" w:rsidRDefault="00877D15" w:rsidP="00D60542">
            <w:pPr>
              <w:rPr>
                <w:rFonts w:cstheme="minorHAnsi"/>
                <w:sz w:val="24"/>
                <w:szCs w:val="24"/>
              </w:rPr>
            </w:pPr>
            <w:r w:rsidRPr="00C44B9C">
              <w:rPr>
                <w:rFonts w:cstheme="minorHAnsi"/>
                <w:sz w:val="24"/>
                <w:szCs w:val="24"/>
              </w:rPr>
              <w:t>Positive Change</w:t>
            </w:r>
          </w:p>
        </w:tc>
        <w:tc>
          <w:tcPr>
            <w:tcW w:w="5620" w:type="dxa"/>
            <w:tcBorders>
              <w:top w:val="nil"/>
              <w:left w:val="nil"/>
              <w:bottom w:val="nil"/>
              <w:right w:val="single" w:sz="4" w:space="0" w:color="auto"/>
            </w:tcBorders>
            <w:noWrap/>
            <w:vAlign w:val="bottom"/>
            <w:hideMark/>
          </w:tcPr>
          <w:p w14:paraId="3C8786D7" w14:textId="77777777" w:rsidR="00877D15" w:rsidRPr="00C44B9C" w:rsidRDefault="00877D15" w:rsidP="00D60542">
            <w:pPr>
              <w:rPr>
                <w:rFonts w:cstheme="minorHAnsi"/>
                <w:sz w:val="24"/>
                <w:szCs w:val="24"/>
              </w:rPr>
            </w:pPr>
            <w:r w:rsidRPr="00C44B9C">
              <w:rPr>
                <w:rFonts w:cstheme="minorHAnsi"/>
                <w:sz w:val="24"/>
                <w:szCs w:val="24"/>
              </w:rPr>
              <w:t>57%</w:t>
            </w:r>
          </w:p>
        </w:tc>
      </w:tr>
    </w:tbl>
    <w:p w14:paraId="6E6AF5C9" w14:textId="77777777" w:rsidR="00FD0DCE" w:rsidRPr="00C44B9C" w:rsidRDefault="00FD0DCE" w:rsidP="00D60542">
      <w:pPr>
        <w:rPr>
          <w:rFonts w:cstheme="minorHAnsi"/>
          <w:sz w:val="24"/>
          <w:szCs w:val="24"/>
        </w:rPr>
      </w:pPr>
    </w:p>
    <w:p w14:paraId="3B55229A" w14:textId="50A94315" w:rsidR="00877D15" w:rsidRPr="00C44B9C" w:rsidRDefault="00CA2E72" w:rsidP="00CA2E72">
      <w:pPr>
        <w:ind w:left="720" w:hanging="720"/>
        <w:rPr>
          <w:rFonts w:cstheme="minorHAnsi"/>
          <w:sz w:val="24"/>
          <w:szCs w:val="24"/>
        </w:rPr>
      </w:pPr>
      <w:r>
        <w:rPr>
          <w:rFonts w:cstheme="minorHAnsi"/>
          <w:sz w:val="24"/>
          <w:szCs w:val="24"/>
        </w:rPr>
        <w:lastRenderedPageBreak/>
        <w:t>61.</w:t>
      </w:r>
      <w:r>
        <w:rPr>
          <w:rFonts w:cstheme="minorHAnsi"/>
          <w:sz w:val="24"/>
          <w:szCs w:val="24"/>
        </w:rPr>
        <w:tab/>
      </w:r>
      <w:r w:rsidR="00877D15" w:rsidRPr="00C44B9C">
        <w:rPr>
          <w:rFonts w:cstheme="minorHAnsi"/>
          <w:sz w:val="24"/>
          <w:szCs w:val="24"/>
        </w:rPr>
        <w:t xml:space="preserve">Sunflower </w:t>
      </w:r>
      <w:r w:rsidR="00FD0DCE" w:rsidRPr="00C44B9C">
        <w:rPr>
          <w:rFonts w:cstheme="minorHAnsi"/>
          <w:sz w:val="24"/>
          <w:szCs w:val="24"/>
        </w:rPr>
        <w:t>G</w:t>
      </w:r>
      <w:r w:rsidR="00877D15" w:rsidRPr="00C44B9C">
        <w:rPr>
          <w:rFonts w:cstheme="minorHAnsi"/>
          <w:sz w:val="24"/>
          <w:szCs w:val="24"/>
        </w:rPr>
        <w:t xml:space="preserve">arden offers a specific therapeutic service for CAPSU. In 2023-4 Sunflower Garden supported a total of 132 </w:t>
      </w:r>
      <w:r>
        <w:rPr>
          <w:rFonts w:cstheme="minorHAnsi"/>
          <w:sz w:val="24"/>
          <w:szCs w:val="24"/>
        </w:rPr>
        <w:t>c</w:t>
      </w:r>
      <w:r w:rsidR="00877D15" w:rsidRPr="00C44B9C">
        <w:rPr>
          <w:rFonts w:cstheme="minorHAnsi"/>
          <w:sz w:val="24"/>
          <w:szCs w:val="24"/>
        </w:rPr>
        <w:t xml:space="preserve">hildren and </w:t>
      </w:r>
      <w:r>
        <w:rPr>
          <w:rFonts w:cstheme="minorHAnsi"/>
          <w:sz w:val="24"/>
          <w:szCs w:val="24"/>
        </w:rPr>
        <w:t>y</w:t>
      </w:r>
      <w:r w:rsidR="00877D15" w:rsidRPr="00C44B9C">
        <w:rPr>
          <w:rFonts w:cstheme="minorHAnsi"/>
          <w:sz w:val="24"/>
          <w:szCs w:val="24"/>
        </w:rPr>
        <w:t xml:space="preserve">oung </w:t>
      </w:r>
      <w:r>
        <w:rPr>
          <w:rFonts w:cstheme="minorHAnsi"/>
          <w:sz w:val="24"/>
          <w:szCs w:val="24"/>
        </w:rPr>
        <w:t>p</w:t>
      </w:r>
      <w:r w:rsidR="00877D15" w:rsidRPr="00C44B9C">
        <w:rPr>
          <w:rFonts w:cstheme="minorHAnsi"/>
          <w:sz w:val="24"/>
          <w:szCs w:val="24"/>
        </w:rPr>
        <w:t>eople, 88 of whom were new to support this year.</w:t>
      </w:r>
      <w:r>
        <w:rPr>
          <w:rFonts w:cstheme="minorHAnsi"/>
          <w:sz w:val="24"/>
          <w:szCs w:val="24"/>
        </w:rPr>
        <w:t xml:space="preserve"> </w:t>
      </w:r>
      <w:r w:rsidR="00877D15" w:rsidRPr="00C44B9C">
        <w:rPr>
          <w:rFonts w:cstheme="minorHAnsi"/>
          <w:sz w:val="24"/>
          <w:szCs w:val="24"/>
        </w:rPr>
        <w:t>78 children had 1:1 therapeutic support (48 new this year) 17 engaged in groupwork</w:t>
      </w:r>
      <w:r>
        <w:rPr>
          <w:rFonts w:cstheme="minorHAnsi"/>
          <w:sz w:val="24"/>
          <w:szCs w:val="24"/>
        </w:rPr>
        <w:t>,</w:t>
      </w:r>
      <w:r w:rsidR="00877D15" w:rsidRPr="00C44B9C">
        <w:rPr>
          <w:rFonts w:cstheme="minorHAnsi"/>
          <w:sz w:val="24"/>
          <w:szCs w:val="24"/>
        </w:rPr>
        <w:t xml:space="preserve"> 58 received counselling or Art Therap</w:t>
      </w:r>
      <w:r>
        <w:rPr>
          <w:rFonts w:cstheme="minorHAnsi"/>
          <w:sz w:val="24"/>
          <w:szCs w:val="24"/>
        </w:rPr>
        <w:t>y</w:t>
      </w:r>
      <w:r w:rsidR="00BF4E15">
        <w:rPr>
          <w:rFonts w:cstheme="minorHAnsi"/>
          <w:sz w:val="24"/>
          <w:szCs w:val="24"/>
        </w:rPr>
        <w:t xml:space="preserve">. </w:t>
      </w:r>
      <w:r w:rsidR="00877D15" w:rsidRPr="00C44B9C">
        <w:rPr>
          <w:rFonts w:cstheme="minorHAnsi"/>
          <w:sz w:val="24"/>
          <w:szCs w:val="24"/>
        </w:rPr>
        <w:t>21 children had more than one intervention. The outcomes achieved were:</w:t>
      </w:r>
    </w:p>
    <w:p w14:paraId="4C1D3D4B" w14:textId="77777777" w:rsidR="00877D15" w:rsidRPr="00C44B9C" w:rsidRDefault="00877D15" w:rsidP="00CA2E72">
      <w:pPr>
        <w:spacing w:after="0"/>
        <w:ind w:left="720"/>
        <w:rPr>
          <w:rFonts w:cstheme="minorHAnsi"/>
          <w:sz w:val="24"/>
          <w:szCs w:val="24"/>
        </w:rPr>
      </w:pPr>
      <w:r w:rsidRPr="00C44B9C">
        <w:rPr>
          <w:rFonts w:cstheme="minorHAnsi"/>
          <w:sz w:val="24"/>
          <w:szCs w:val="24"/>
        </w:rPr>
        <w:t>•</w:t>
      </w:r>
      <w:r w:rsidRPr="00C44B9C">
        <w:rPr>
          <w:rFonts w:cstheme="minorHAnsi"/>
          <w:sz w:val="24"/>
          <w:szCs w:val="24"/>
        </w:rPr>
        <w:tab/>
        <w:t xml:space="preserve">81% of children were safer </w:t>
      </w:r>
    </w:p>
    <w:p w14:paraId="18C54DCD" w14:textId="77777777" w:rsidR="00877D15" w:rsidRPr="00C44B9C" w:rsidRDefault="00877D15" w:rsidP="00CA2E72">
      <w:pPr>
        <w:spacing w:after="0"/>
        <w:ind w:left="720"/>
        <w:rPr>
          <w:rFonts w:cstheme="minorHAnsi"/>
          <w:sz w:val="24"/>
          <w:szCs w:val="24"/>
        </w:rPr>
      </w:pPr>
      <w:r w:rsidRPr="00C44B9C">
        <w:rPr>
          <w:rFonts w:cstheme="minorHAnsi"/>
          <w:sz w:val="24"/>
          <w:szCs w:val="24"/>
        </w:rPr>
        <w:t>•</w:t>
      </w:r>
      <w:r w:rsidRPr="00C44B9C">
        <w:rPr>
          <w:rFonts w:cstheme="minorHAnsi"/>
          <w:sz w:val="24"/>
          <w:szCs w:val="24"/>
        </w:rPr>
        <w:tab/>
        <w:t xml:space="preserve">92% were healthier </w:t>
      </w:r>
    </w:p>
    <w:p w14:paraId="644665FF" w14:textId="77777777" w:rsidR="00877D15" w:rsidRPr="00C44B9C" w:rsidRDefault="00877D15" w:rsidP="00CA2E72">
      <w:pPr>
        <w:spacing w:after="0"/>
        <w:ind w:left="720"/>
        <w:rPr>
          <w:rFonts w:cstheme="minorHAnsi"/>
          <w:sz w:val="24"/>
          <w:szCs w:val="24"/>
        </w:rPr>
      </w:pPr>
      <w:r w:rsidRPr="00C44B9C">
        <w:rPr>
          <w:rFonts w:cstheme="minorHAnsi"/>
          <w:sz w:val="24"/>
          <w:szCs w:val="24"/>
        </w:rPr>
        <w:t>•</w:t>
      </w:r>
      <w:r w:rsidRPr="00C44B9C">
        <w:rPr>
          <w:rFonts w:cstheme="minorHAnsi"/>
          <w:sz w:val="24"/>
          <w:szCs w:val="24"/>
        </w:rPr>
        <w:tab/>
        <w:t>89% were more included</w:t>
      </w:r>
    </w:p>
    <w:p w14:paraId="75C32A5E" w14:textId="77777777" w:rsidR="00CA2E72" w:rsidRDefault="00CA2E72" w:rsidP="00D60542">
      <w:pPr>
        <w:pStyle w:val="Heading3"/>
        <w:rPr>
          <w:rFonts w:asciiTheme="minorHAnsi" w:hAnsiTheme="minorHAnsi" w:cstheme="minorHAnsi"/>
        </w:rPr>
      </w:pPr>
    </w:p>
    <w:p w14:paraId="21C80123" w14:textId="7BE07CDA" w:rsidR="00877D15" w:rsidRPr="008160B0" w:rsidRDefault="00CA2E72" w:rsidP="00CA2E72">
      <w:pPr>
        <w:pStyle w:val="Heading3"/>
        <w:ind w:left="720" w:hanging="720"/>
        <w:rPr>
          <w:rFonts w:asciiTheme="minorHAnsi" w:hAnsiTheme="minorHAnsi" w:cstheme="minorHAnsi"/>
          <w:color w:val="auto"/>
        </w:rPr>
      </w:pPr>
      <w:bookmarkStart w:id="32" w:name="_Toc174006758"/>
      <w:r>
        <w:rPr>
          <w:rFonts w:asciiTheme="minorHAnsi" w:hAnsiTheme="minorHAnsi" w:cstheme="minorHAnsi"/>
        </w:rPr>
        <w:t>62.</w:t>
      </w:r>
      <w:r>
        <w:rPr>
          <w:rFonts w:asciiTheme="minorHAnsi" w:hAnsiTheme="minorHAnsi" w:cstheme="minorHAnsi"/>
        </w:rPr>
        <w:tab/>
      </w:r>
      <w:r w:rsidR="00877D15" w:rsidRPr="00CA2E72">
        <w:rPr>
          <w:rFonts w:asciiTheme="minorHAnsi" w:hAnsiTheme="minorHAnsi" w:cstheme="minorHAnsi"/>
          <w:b/>
          <w:bCs/>
        </w:rPr>
        <w:t>Developments in Services for Families which include Children Affected by Parental Substance Use</w:t>
      </w:r>
      <w:r>
        <w:rPr>
          <w:rFonts w:asciiTheme="minorHAnsi" w:hAnsiTheme="minorHAnsi" w:cstheme="minorHAnsi"/>
          <w:b/>
          <w:bCs/>
        </w:rPr>
        <w:t xml:space="preserve"> </w:t>
      </w:r>
      <w:r w:rsidRPr="008160B0">
        <w:rPr>
          <w:rFonts w:asciiTheme="minorHAnsi" w:hAnsiTheme="minorHAnsi" w:cstheme="minorHAnsi"/>
          <w:b/>
          <w:bCs/>
          <w:color w:val="auto"/>
        </w:rPr>
        <w:t xml:space="preserve">- </w:t>
      </w:r>
      <w:r w:rsidR="00877D15" w:rsidRPr="008160B0">
        <w:rPr>
          <w:rFonts w:asciiTheme="minorHAnsi" w:hAnsiTheme="minorHAnsi" w:cstheme="minorHAnsi"/>
          <w:color w:val="auto"/>
        </w:rPr>
        <w:t>The services have continually developed over the period they have been funded in respect of new guidance and expectations, their own observation of service delivery and co-production with children and families. These developments are detailed belo</w:t>
      </w:r>
      <w:r w:rsidRPr="008160B0">
        <w:rPr>
          <w:rFonts w:asciiTheme="minorHAnsi" w:hAnsiTheme="minorHAnsi" w:cstheme="minorHAnsi"/>
          <w:color w:val="auto"/>
        </w:rPr>
        <w:t>w.</w:t>
      </w:r>
      <w:bookmarkEnd w:id="32"/>
      <w:r w:rsidRPr="008160B0">
        <w:rPr>
          <w:rFonts w:asciiTheme="minorHAnsi" w:hAnsiTheme="minorHAnsi" w:cstheme="minorHAnsi"/>
          <w:color w:val="auto"/>
        </w:rPr>
        <w:t xml:space="preserve"> </w:t>
      </w:r>
    </w:p>
    <w:p w14:paraId="44A63898" w14:textId="77777777" w:rsidR="00CA2E72" w:rsidRDefault="00CA2E72" w:rsidP="00CA2E72"/>
    <w:p w14:paraId="10E06F43" w14:textId="54BB6E2B" w:rsidR="00877D15" w:rsidRPr="00C44B9C" w:rsidRDefault="00CA2E72" w:rsidP="00CA2E72">
      <w:pPr>
        <w:ind w:left="720" w:hanging="720"/>
        <w:rPr>
          <w:rFonts w:cstheme="minorHAnsi"/>
          <w:sz w:val="24"/>
          <w:szCs w:val="24"/>
        </w:rPr>
      </w:pPr>
      <w:r>
        <w:t>63.</w:t>
      </w:r>
      <w:r>
        <w:tab/>
      </w:r>
      <w:r w:rsidR="00877D15" w:rsidRPr="00C44B9C">
        <w:rPr>
          <w:rFonts w:cstheme="minorHAnsi"/>
          <w:sz w:val="24"/>
          <w:szCs w:val="24"/>
        </w:rPr>
        <w:t xml:space="preserve">Children, young </w:t>
      </w:r>
      <w:r w:rsidR="00BF4E15" w:rsidRPr="00C44B9C">
        <w:rPr>
          <w:rFonts w:cstheme="minorHAnsi"/>
          <w:sz w:val="24"/>
          <w:szCs w:val="24"/>
        </w:rPr>
        <w:t>people,</w:t>
      </w:r>
      <w:r w:rsidR="00877D15" w:rsidRPr="00C44B9C">
        <w:rPr>
          <w:rFonts w:cstheme="minorHAnsi"/>
          <w:sz w:val="24"/>
          <w:szCs w:val="24"/>
        </w:rPr>
        <w:t xml:space="preserve"> and families often have complex needs which require longer term engagement to help improve safety, </w:t>
      </w:r>
      <w:r w:rsidR="00BF4E15" w:rsidRPr="00C44B9C">
        <w:rPr>
          <w:rFonts w:cstheme="minorHAnsi"/>
          <w:sz w:val="24"/>
          <w:szCs w:val="24"/>
        </w:rPr>
        <w:t>health,</w:t>
      </w:r>
      <w:r w:rsidR="00877D15" w:rsidRPr="00C44B9C">
        <w:rPr>
          <w:rFonts w:cstheme="minorHAnsi"/>
          <w:sz w:val="24"/>
          <w:szCs w:val="24"/>
        </w:rPr>
        <w:t xml:space="preserve"> and wellbeing. This is confirmed by new guidance from Scottish Government and research. Support for families is able to continue longer term where required.</w:t>
      </w:r>
    </w:p>
    <w:p w14:paraId="0D192520" w14:textId="1D713566" w:rsidR="00877D15" w:rsidRPr="00CA2E72" w:rsidRDefault="00CA2E72" w:rsidP="00CA2E72">
      <w:pPr>
        <w:ind w:left="720" w:hanging="720"/>
        <w:rPr>
          <w:rFonts w:cstheme="minorHAnsi"/>
          <w:sz w:val="24"/>
          <w:szCs w:val="24"/>
        </w:rPr>
      </w:pPr>
      <w:r>
        <w:rPr>
          <w:rFonts w:cstheme="minorHAnsi"/>
          <w:sz w:val="24"/>
          <w:szCs w:val="24"/>
        </w:rPr>
        <w:t>64.</w:t>
      </w:r>
      <w:r>
        <w:rPr>
          <w:rFonts w:cstheme="minorHAnsi"/>
          <w:sz w:val="24"/>
          <w:szCs w:val="24"/>
        </w:rPr>
        <w:tab/>
      </w:r>
      <w:r w:rsidR="00877D15" w:rsidRPr="00CA2E72">
        <w:rPr>
          <w:rFonts w:cstheme="minorHAnsi"/>
          <w:sz w:val="24"/>
          <w:szCs w:val="24"/>
        </w:rPr>
        <w:t>There is an established need to provide a specific service for fathers and to recognise their part in family care and dynamics. This is now funded as part of this contract through National Drugs Mission monies until 2026.</w:t>
      </w:r>
    </w:p>
    <w:p w14:paraId="18B1F08E" w14:textId="5FC10057" w:rsidR="00877D15" w:rsidRPr="00CA2E72" w:rsidRDefault="00CA2E72" w:rsidP="00CA2E72">
      <w:pPr>
        <w:ind w:left="720" w:hanging="720"/>
        <w:rPr>
          <w:rFonts w:cstheme="minorHAnsi"/>
          <w:sz w:val="24"/>
          <w:szCs w:val="24"/>
        </w:rPr>
      </w:pPr>
      <w:r>
        <w:rPr>
          <w:rFonts w:cstheme="minorHAnsi"/>
          <w:sz w:val="24"/>
          <w:szCs w:val="24"/>
        </w:rPr>
        <w:t>65.</w:t>
      </w:r>
      <w:r>
        <w:rPr>
          <w:rFonts w:cstheme="minorHAnsi"/>
          <w:sz w:val="24"/>
          <w:szCs w:val="24"/>
        </w:rPr>
        <w:tab/>
      </w:r>
      <w:r w:rsidR="00877D15" w:rsidRPr="00CA2E72">
        <w:rPr>
          <w:rFonts w:cstheme="minorHAnsi"/>
          <w:sz w:val="24"/>
          <w:szCs w:val="24"/>
        </w:rPr>
        <w:t xml:space="preserve">Peer support is a developing option across all services and has helped to extend the care and support through peer options beyond direct engagement and </w:t>
      </w:r>
      <w:r w:rsidR="00BF4E15" w:rsidRPr="00CA2E72">
        <w:rPr>
          <w:rFonts w:cstheme="minorHAnsi"/>
          <w:sz w:val="24"/>
          <w:szCs w:val="24"/>
        </w:rPr>
        <w:t>out with</w:t>
      </w:r>
      <w:r w:rsidR="00877D15" w:rsidRPr="00CA2E72">
        <w:rPr>
          <w:rFonts w:cstheme="minorHAnsi"/>
          <w:sz w:val="24"/>
          <w:szCs w:val="24"/>
        </w:rPr>
        <w:t xml:space="preserve"> hours of the service. Additional funding has been granted through CORRA to support this work.</w:t>
      </w:r>
    </w:p>
    <w:p w14:paraId="52D9BEA2" w14:textId="00AEB6BB" w:rsidR="00877D15" w:rsidRPr="00C44B9C" w:rsidRDefault="00CA2E72" w:rsidP="00CA2E72">
      <w:pPr>
        <w:ind w:left="720" w:hanging="720"/>
        <w:rPr>
          <w:rFonts w:cstheme="minorHAnsi"/>
          <w:sz w:val="24"/>
          <w:szCs w:val="24"/>
        </w:rPr>
      </w:pPr>
      <w:r>
        <w:rPr>
          <w:rFonts w:cstheme="minorHAnsi"/>
          <w:sz w:val="24"/>
          <w:szCs w:val="24"/>
        </w:rPr>
        <w:t>66.</w:t>
      </w:r>
      <w:r>
        <w:rPr>
          <w:rFonts w:cstheme="minorHAnsi"/>
          <w:sz w:val="24"/>
          <w:szCs w:val="24"/>
        </w:rPr>
        <w:tab/>
      </w:r>
      <w:r w:rsidR="00877D15" w:rsidRPr="00CA2E72">
        <w:rPr>
          <w:rFonts w:cstheme="minorHAnsi"/>
          <w:sz w:val="24"/>
          <w:szCs w:val="24"/>
        </w:rPr>
        <w:t xml:space="preserve">Activity based programmes in school holiday times have been </w:t>
      </w:r>
      <w:r w:rsidR="00BF4E15" w:rsidRPr="00CA2E72">
        <w:rPr>
          <w:rFonts w:cstheme="minorHAnsi"/>
          <w:sz w:val="24"/>
          <w:szCs w:val="24"/>
        </w:rPr>
        <w:t>highly successful</w:t>
      </w:r>
      <w:r w:rsidR="00877D15" w:rsidRPr="00CA2E72">
        <w:rPr>
          <w:rFonts w:cstheme="minorHAnsi"/>
          <w:sz w:val="24"/>
          <w:szCs w:val="24"/>
        </w:rPr>
        <w:t xml:space="preserve"> in introducing families to low cost or free activities they can engage in together. This has also helped involve extended families expanding the support options available.</w:t>
      </w:r>
      <w:r>
        <w:rPr>
          <w:rFonts w:cstheme="minorHAnsi"/>
          <w:sz w:val="24"/>
          <w:szCs w:val="24"/>
        </w:rPr>
        <w:t xml:space="preserve"> J</w:t>
      </w:r>
      <w:r w:rsidR="00877D15" w:rsidRPr="00C44B9C">
        <w:rPr>
          <w:rFonts w:cstheme="minorHAnsi"/>
          <w:sz w:val="24"/>
          <w:szCs w:val="24"/>
        </w:rPr>
        <w:t>oint work with Edinburgh Recovery Activities (ERA) has introduced a family perspective to the recovery community and extended the support options available to families.</w:t>
      </w:r>
    </w:p>
    <w:p w14:paraId="06731D67" w14:textId="2D7E4CD0" w:rsidR="00877D15" w:rsidRPr="00CA2E72" w:rsidRDefault="00CA2E72" w:rsidP="00CA2E72">
      <w:pPr>
        <w:ind w:left="720" w:hanging="720"/>
        <w:rPr>
          <w:rFonts w:cstheme="minorHAnsi"/>
          <w:sz w:val="24"/>
          <w:szCs w:val="24"/>
        </w:rPr>
      </w:pPr>
      <w:r>
        <w:rPr>
          <w:rFonts w:cstheme="minorHAnsi"/>
          <w:sz w:val="24"/>
          <w:szCs w:val="24"/>
        </w:rPr>
        <w:t>67.</w:t>
      </w:r>
      <w:r>
        <w:rPr>
          <w:rFonts w:cstheme="minorHAnsi"/>
          <w:sz w:val="24"/>
          <w:szCs w:val="24"/>
        </w:rPr>
        <w:tab/>
      </w:r>
      <w:r w:rsidR="00877D15" w:rsidRPr="00CA2E72">
        <w:rPr>
          <w:rFonts w:cstheme="minorHAnsi"/>
          <w:sz w:val="24"/>
          <w:szCs w:val="24"/>
        </w:rPr>
        <w:t xml:space="preserve">Identification of a gap in support for parents who have had children removed and are particularly vulnerable has attracted funding for a joint initiative with Family Group Decision Making (FGDM). </w:t>
      </w:r>
    </w:p>
    <w:p w14:paraId="093BB603" w14:textId="002C3AB7" w:rsidR="00877D15" w:rsidRPr="00CA2E72" w:rsidRDefault="00CA2E72" w:rsidP="00CA2E72">
      <w:pPr>
        <w:ind w:left="720" w:hanging="720"/>
        <w:rPr>
          <w:rFonts w:cstheme="minorHAnsi"/>
          <w:sz w:val="24"/>
          <w:szCs w:val="24"/>
        </w:rPr>
      </w:pPr>
      <w:r>
        <w:rPr>
          <w:rFonts w:cstheme="minorHAnsi"/>
          <w:sz w:val="24"/>
          <w:szCs w:val="24"/>
        </w:rPr>
        <w:t>68.</w:t>
      </w:r>
      <w:r>
        <w:rPr>
          <w:rFonts w:cstheme="minorHAnsi"/>
          <w:sz w:val="24"/>
          <w:szCs w:val="24"/>
        </w:rPr>
        <w:tab/>
      </w:r>
      <w:r w:rsidR="00877D15" w:rsidRPr="00CA2E72">
        <w:rPr>
          <w:rFonts w:cstheme="minorHAnsi"/>
          <w:sz w:val="24"/>
          <w:szCs w:val="24"/>
        </w:rPr>
        <w:t>The services have become trauma informed and have support and consultancy from Psychology for staff teams.</w:t>
      </w:r>
    </w:p>
    <w:p w14:paraId="52C25067" w14:textId="02793B91" w:rsidR="00877D15" w:rsidRPr="00CA2E72" w:rsidRDefault="00CA2E72" w:rsidP="00CA2E72">
      <w:pPr>
        <w:ind w:left="720" w:hanging="720"/>
        <w:rPr>
          <w:rFonts w:cstheme="minorHAnsi"/>
          <w:sz w:val="24"/>
          <w:szCs w:val="24"/>
        </w:rPr>
      </w:pPr>
      <w:r>
        <w:rPr>
          <w:rFonts w:cstheme="minorHAnsi"/>
          <w:sz w:val="24"/>
          <w:szCs w:val="24"/>
        </w:rPr>
        <w:t>69.</w:t>
      </w:r>
      <w:r>
        <w:rPr>
          <w:rFonts w:cstheme="minorHAnsi"/>
          <w:sz w:val="24"/>
          <w:szCs w:val="24"/>
        </w:rPr>
        <w:tab/>
      </w:r>
      <w:r w:rsidR="00877D15" w:rsidRPr="00CA2E72">
        <w:rPr>
          <w:rFonts w:cstheme="minorHAnsi"/>
          <w:sz w:val="24"/>
          <w:szCs w:val="24"/>
        </w:rPr>
        <w:t xml:space="preserve">A groupwork programme has been developed by Sunflower Garden which helps prepare children for individual work and some children have expressed a preference </w:t>
      </w:r>
      <w:r w:rsidR="00877D15" w:rsidRPr="00CA2E72">
        <w:rPr>
          <w:rFonts w:cstheme="minorHAnsi"/>
          <w:sz w:val="24"/>
          <w:szCs w:val="24"/>
        </w:rPr>
        <w:lastRenderedPageBreak/>
        <w:t>for this option. Funding has been given by EADP from National Drugs Mission monies to fund this work.</w:t>
      </w:r>
    </w:p>
    <w:p w14:paraId="03936BEB" w14:textId="6433BBDC" w:rsidR="00877D15" w:rsidRPr="00CA2E72" w:rsidRDefault="00CA2E72" w:rsidP="00CA2E72">
      <w:pPr>
        <w:ind w:left="720" w:hanging="720"/>
        <w:rPr>
          <w:rFonts w:cstheme="minorHAnsi"/>
          <w:sz w:val="24"/>
          <w:szCs w:val="24"/>
        </w:rPr>
      </w:pPr>
      <w:r>
        <w:rPr>
          <w:rFonts w:cstheme="minorHAnsi"/>
          <w:sz w:val="24"/>
          <w:szCs w:val="24"/>
        </w:rPr>
        <w:t>70.</w:t>
      </w:r>
      <w:r>
        <w:rPr>
          <w:rFonts w:cstheme="minorHAnsi"/>
          <w:sz w:val="24"/>
          <w:szCs w:val="24"/>
        </w:rPr>
        <w:tab/>
      </w:r>
      <w:r w:rsidR="00877D15" w:rsidRPr="00CA2E72">
        <w:rPr>
          <w:rFonts w:cstheme="minorHAnsi"/>
          <w:sz w:val="24"/>
          <w:szCs w:val="24"/>
        </w:rPr>
        <w:t>There has emerged a wider need for children to get support in their own right when parents are not currently supported by the contract, referrals from schools have increased and exposed a greater level of need requiring further investigation.</w:t>
      </w:r>
    </w:p>
    <w:p w14:paraId="499FCA72" w14:textId="21BFF898" w:rsidR="00877D15" w:rsidRPr="00CA2E72" w:rsidRDefault="00CA2E72" w:rsidP="00CA2E72">
      <w:pPr>
        <w:ind w:left="720" w:hanging="720"/>
        <w:rPr>
          <w:rFonts w:cstheme="minorHAnsi"/>
          <w:sz w:val="24"/>
          <w:szCs w:val="24"/>
        </w:rPr>
      </w:pPr>
      <w:r>
        <w:rPr>
          <w:rFonts w:cstheme="minorHAnsi"/>
          <w:sz w:val="24"/>
          <w:szCs w:val="24"/>
        </w:rPr>
        <w:t>71.</w:t>
      </w:r>
      <w:r>
        <w:rPr>
          <w:rFonts w:cstheme="minorHAnsi"/>
          <w:sz w:val="24"/>
          <w:szCs w:val="24"/>
        </w:rPr>
        <w:tab/>
      </w:r>
      <w:r w:rsidR="00877D15" w:rsidRPr="00CA2E72">
        <w:rPr>
          <w:rFonts w:cstheme="minorHAnsi"/>
          <w:sz w:val="24"/>
          <w:szCs w:val="24"/>
        </w:rPr>
        <w:t xml:space="preserve">The ADP led on co-production of a new CAPSU specification in 2023-24, preparing to re-tender the service in 2024-25. The process included a review of the current service and extensive a programme of engagement with key stakeholders and services and children, young </w:t>
      </w:r>
      <w:r w:rsidR="00BF4E15" w:rsidRPr="00CA2E72">
        <w:rPr>
          <w:rFonts w:cstheme="minorHAnsi"/>
          <w:sz w:val="24"/>
          <w:szCs w:val="24"/>
        </w:rPr>
        <w:t>people,</w:t>
      </w:r>
      <w:r w:rsidR="00877D15" w:rsidRPr="00CA2E72">
        <w:rPr>
          <w:rFonts w:cstheme="minorHAnsi"/>
          <w:sz w:val="24"/>
          <w:szCs w:val="24"/>
        </w:rPr>
        <w:t xml:space="preserve"> and families with lived and living experience</w:t>
      </w:r>
    </w:p>
    <w:p w14:paraId="64698C60" w14:textId="43023C36" w:rsidR="00877D15" w:rsidRPr="00CA2E72" w:rsidRDefault="00CA2E72" w:rsidP="00CA2E72">
      <w:pPr>
        <w:pStyle w:val="Heading2"/>
        <w:ind w:left="720" w:hanging="720"/>
        <w:rPr>
          <w:rFonts w:asciiTheme="minorHAnsi" w:hAnsiTheme="minorHAnsi" w:cstheme="minorHAnsi"/>
          <w:color w:val="auto"/>
          <w:sz w:val="24"/>
          <w:szCs w:val="24"/>
        </w:rPr>
      </w:pPr>
      <w:bookmarkStart w:id="33" w:name="_Toc174006759"/>
      <w:r w:rsidRPr="00996CF6">
        <w:rPr>
          <w:rFonts w:asciiTheme="minorHAnsi" w:hAnsiTheme="minorHAnsi" w:cstheme="minorHAnsi"/>
          <w:color w:val="auto"/>
          <w:sz w:val="24"/>
          <w:szCs w:val="24"/>
        </w:rPr>
        <w:t>72</w:t>
      </w:r>
      <w:r>
        <w:rPr>
          <w:rFonts w:asciiTheme="minorHAnsi" w:hAnsiTheme="minorHAnsi" w:cstheme="minorHAnsi"/>
          <w:sz w:val="24"/>
          <w:szCs w:val="24"/>
        </w:rPr>
        <w:t>.</w:t>
      </w:r>
      <w:r>
        <w:rPr>
          <w:rFonts w:asciiTheme="minorHAnsi" w:hAnsiTheme="minorHAnsi" w:cstheme="minorHAnsi"/>
          <w:sz w:val="24"/>
          <w:szCs w:val="24"/>
        </w:rPr>
        <w:tab/>
      </w:r>
      <w:r w:rsidR="00877D15" w:rsidRPr="00CA2E72">
        <w:rPr>
          <w:rFonts w:asciiTheme="minorHAnsi" w:hAnsiTheme="minorHAnsi" w:cstheme="minorHAnsi"/>
          <w:b/>
          <w:bCs/>
          <w:color w:val="auto"/>
          <w:sz w:val="24"/>
          <w:szCs w:val="24"/>
        </w:rPr>
        <w:t>Family Group Decision Making</w:t>
      </w:r>
      <w:r w:rsidRPr="00CA2E72">
        <w:rPr>
          <w:rFonts w:asciiTheme="minorHAnsi" w:hAnsiTheme="minorHAnsi" w:cstheme="minorHAnsi"/>
          <w:b/>
          <w:bCs/>
          <w:color w:val="auto"/>
          <w:sz w:val="24"/>
          <w:szCs w:val="24"/>
        </w:rPr>
        <w:t xml:space="preserve"> </w:t>
      </w:r>
      <w:r w:rsidR="00877D15" w:rsidRPr="00CA2E72">
        <w:rPr>
          <w:rFonts w:asciiTheme="minorHAnsi" w:hAnsiTheme="minorHAnsi" w:cstheme="minorHAnsi"/>
          <w:b/>
          <w:bCs/>
          <w:color w:val="auto"/>
          <w:sz w:val="24"/>
          <w:szCs w:val="24"/>
        </w:rPr>
        <w:t xml:space="preserve">(FGDM) </w:t>
      </w:r>
      <w:r w:rsidR="00877D15" w:rsidRPr="00CA2E72">
        <w:rPr>
          <w:rFonts w:asciiTheme="minorHAnsi" w:hAnsiTheme="minorHAnsi" w:cstheme="minorHAnsi"/>
          <w:color w:val="auto"/>
          <w:sz w:val="24"/>
          <w:szCs w:val="24"/>
        </w:rPr>
        <w:t xml:space="preserve">aims to bring a child's extended family together to plan and make decisions for their care and welfare. Edinburgh </w:t>
      </w:r>
      <w:r w:rsidR="00996CF6">
        <w:rPr>
          <w:rFonts w:asciiTheme="minorHAnsi" w:hAnsiTheme="minorHAnsi" w:cstheme="minorHAnsi"/>
          <w:color w:val="auto"/>
          <w:sz w:val="24"/>
          <w:szCs w:val="24"/>
        </w:rPr>
        <w:t>C</w:t>
      </w:r>
      <w:r w:rsidR="00877D15" w:rsidRPr="00CA2E72">
        <w:rPr>
          <w:rFonts w:asciiTheme="minorHAnsi" w:hAnsiTheme="minorHAnsi" w:cstheme="minorHAnsi"/>
          <w:color w:val="auto"/>
          <w:sz w:val="24"/>
          <w:szCs w:val="24"/>
        </w:rPr>
        <w:t>ouncil</w:t>
      </w:r>
      <w:r w:rsidR="00996CF6">
        <w:rPr>
          <w:rFonts w:asciiTheme="minorHAnsi" w:hAnsiTheme="minorHAnsi" w:cstheme="minorHAnsi"/>
          <w:color w:val="auto"/>
          <w:sz w:val="24"/>
          <w:szCs w:val="24"/>
        </w:rPr>
        <w:t>’s</w:t>
      </w:r>
      <w:r w:rsidR="00877D15" w:rsidRPr="00CA2E72">
        <w:rPr>
          <w:rFonts w:asciiTheme="minorHAnsi" w:hAnsiTheme="minorHAnsi" w:cstheme="minorHAnsi"/>
          <w:color w:val="auto"/>
          <w:sz w:val="24"/>
          <w:szCs w:val="24"/>
        </w:rPr>
        <w:t xml:space="preserve"> </w:t>
      </w:r>
      <w:hyperlink r:id="rId20" w:history="1">
        <w:r w:rsidR="00877D15" w:rsidRPr="00CA2E72">
          <w:rPr>
            <w:rStyle w:val="Hyperlink"/>
            <w:rFonts w:asciiTheme="minorHAnsi" w:hAnsiTheme="minorHAnsi" w:cstheme="minorHAnsi"/>
            <w:color w:val="auto"/>
            <w:sz w:val="24"/>
            <w:szCs w:val="24"/>
          </w:rPr>
          <w:t>FGDM</w:t>
        </w:r>
      </w:hyperlink>
      <w:r w:rsidR="00877D15" w:rsidRPr="00CA2E72">
        <w:rPr>
          <w:rFonts w:asciiTheme="minorHAnsi" w:hAnsiTheme="minorHAnsi" w:cstheme="minorHAnsi"/>
          <w:color w:val="auto"/>
          <w:sz w:val="24"/>
          <w:szCs w:val="24"/>
        </w:rPr>
        <w:t xml:space="preserve"> service is working with parents and families and adult drug and alcohol treatment services to develop an equal priority on the needs of adults and children within FGDM meetings, enabling seamless collaboration among multiple organi</w:t>
      </w:r>
      <w:r w:rsidR="00996CF6">
        <w:rPr>
          <w:rFonts w:asciiTheme="minorHAnsi" w:hAnsiTheme="minorHAnsi" w:cstheme="minorHAnsi"/>
          <w:color w:val="auto"/>
          <w:sz w:val="24"/>
          <w:szCs w:val="24"/>
        </w:rPr>
        <w:t>s</w:t>
      </w:r>
      <w:r w:rsidR="00877D15" w:rsidRPr="00CA2E72">
        <w:rPr>
          <w:rFonts w:asciiTheme="minorHAnsi" w:hAnsiTheme="minorHAnsi" w:cstheme="minorHAnsi"/>
          <w:color w:val="auto"/>
          <w:sz w:val="24"/>
          <w:szCs w:val="24"/>
        </w:rPr>
        <w:t>ations to support a family's plans to aid prevention, rather than crisis-driven approaches which we currently experience. The aim is to develop a network of support around the families of relatives and close friends to provide the additional support families need to stay together and thrive and is designed to complement existing work with families offered by the CAPSU contract.</w:t>
      </w:r>
      <w:bookmarkEnd w:id="33"/>
    </w:p>
    <w:p w14:paraId="13A70D86" w14:textId="77777777" w:rsidR="00996CF6" w:rsidRDefault="00996CF6" w:rsidP="00877D15">
      <w:pPr>
        <w:pStyle w:val="Heading2"/>
        <w:rPr>
          <w:rFonts w:asciiTheme="minorHAnsi" w:hAnsiTheme="minorHAnsi" w:cstheme="minorHAnsi"/>
          <w:color w:val="auto"/>
          <w:sz w:val="24"/>
          <w:szCs w:val="24"/>
        </w:rPr>
      </w:pPr>
    </w:p>
    <w:p w14:paraId="1F5E03A3" w14:textId="1DDAA6F7" w:rsidR="00FD0DCE" w:rsidRDefault="00996CF6" w:rsidP="00996CF6">
      <w:pPr>
        <w:pStyle w:val="Heading2"/>
        <w:ind w:left="720" w:hanging="720"/>
        <w:rPr>
          <w:rFonts w:asciiTheme="minorHAnsi" w:hAnsiTheme="minorHAnsi" w:cstheme="minorHAnsi"/>
          <w:color w:val="auto"/>
          <w:sz w:val="24"/>
          <w:szCs w:val="24"/>
        </w:rPr>
      </w:pPr>
      <w:bookmarkStart w:id="34" w:name="_Toc174006760"/>
      <w:r>
        <w:rPr>
          <w:rFonts w:asciiTheme="minorHAnsi" w:hAnsiTheme="minorHAnsi" w:cstheme="minorHAnsi"/>
          <w:color w:val="auto"/>
          <w:sz w:val="24"/>
          <w:szCs w:val="24"/>
        </w:rPr>
        <w:t>73.</w:t>
      </w:r>
      <w:r>
        <w:rPr>
          <w:rFonts w:asciiTheme="minorHAnsi" w:hAnsiTheme="minorHAnsi" w:cstheme="minorHAnsi"/>
          <w:color w:val="auto"/>
          <w:sz w:val="24"/>
          <w:szCs w:val="24"/>
        </w:rPr>
        <w:tab/>
      </w:r>
      <w:r w:rsidR="00877D15" w:rsidRPr="00996CF6">
        <w:rPr>
          <w:rFonts w:asciiTheme="minorHAnsi" w:hAnsiTheme="minorHAnsi" w:cstheme="minorHAnsi"/>
          <w:b/>
          <w:bCs/>
          <w:color w:val="auto"/>
          <w:sz w:val="24"/>
          <w:szCs w:val="24"/>
        </w:rPr>
        <w:t>Support for Adult</w:t>
      </w:r>
      <w:r w:rsidR="00EB4472" w:rsidRPr="00996CF6">
        <w:rPr>
          <w:rFonts w:asciiTheme="minorHAnsi" w:hAnsiTheme="minorHAnsi" w:cstheme="minorHAnsi"/>
          <w:b/>
          <w:bCs/>
          <w:color w:val="auto"/>
          <w:sz w:val="24"/>
          <w:szCs w:val="24"/>
        </w:rPr>
        <w:t xml:space="preserve">s affected by a loved one’s </w:t>
      </w:r>
      <w:r w:rsidR="00FD0DCE" w:rsidRPr="00996CF6">
        <w:rPr>
          <w:rFonts w:asciiTheme="minorHAnsi" w:hAnsiTheme="minorHAnsi" w:cstheme="minorHAnsi"/>
          <w:b/>
          <w:bCs/>
          <w:color w:val="auto"/>
          <w:sz w:val="24"/>
          <w:szCs w:val="24"/>
        </w:rPr>
        <w:t>Substance</w:t>
      </w:r>
      <w:r w:rsidR="00EB4472" w:rsidRPr="00996CF6">
        <w:rPr>
          <w:rFonts w:asciiTheme="minorHAnsi" w:hAnsiTheme="minorHAnsi" w:cstheme="minorHAnsi"/>
          <w:b/>
          <w:bCs/>
          <w:color w:val="auto"/>
          <w:sz w:val="24"/>
          <w:szCs w:val="24"/>
        </w:rPr>
        <w:t xml:space="preserve"> use</w:t>
      </w:r>
      <w:r w:rsidR="00EB4472" w:rsidRPr="00CA2E72">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 </w:t>
      </w:r>
      <w:r w:rsidR="00877D15" w:rsidRPr="00996CF6">
        <w:rPr>
          <w:rFonts w:asciiTheme="minorHAnsi" w:hAnsiTheme="minorHAnsi" w:cstheme="minorHAnsi"/>
          <w:color w:val="auto"/>
          <w:sz w:val="24"/>
          <w:szCs w:val="24"/>
        </w:rPr>
        <w:t xml:space="preserve">EADP is committed to responding to the needs of adults affected by the substance use of those who are close to them (families and friends). Key </w:t>
      </w:r>
      <w:r w:rsidR="00EB4472" w:rsidRPr="00996CF6">
        <w:rPr>
          <w:rFonts w:asciiTheme="minorHAnsi" w:hAnsiTheme="minorHAnsi" w:cstheme="minorHAnsi"/>
          <w:color w:val="auto"/>
          <w:sz w:val="24"/>
          <w:szCs w:val="24"/>
        </w:rPr>
        <w:t xml:space="preserve">aims </w:t>
      </w:r>
      <w:r w:rsidR="00877D15" w:rsidRPr="00996CF6">
        <w:rPr>
          <w:rFonts w:asciiTheme="minorHAnsi" w:hAnsiTheme="minorHAnsi" w:cstheme="minorHAnsi"/>
          <w:color w:val="auto"/>
          <w:sz w:val="24"/>
          <w:szCs w:val="24"/>
        </w:rPr>
        <w:t xml:space="preserve">include for professional services to work alongside them in the care of their loved ones (where appropriate and possible) and ensuring that they are provided with care and </w:t>
      </w:r>
      <w:proofErr w:type="gramStart"/>
      <w:r w:rsidR="00877D15" w:rsidRPr="00996CF6">
        <w:rPr>
          <w:rFonts w:asciiTheme="minorHAnsi" w:hAnsiTheme="minorHAnsi" w:cstheme="minorHAnsi"/>
          <w:color w:val="auto"/>
          <w:sz w:val="24"/>
          <w:szCs w:val="24"/>
        </w:rPr>
        <w:t>support in their own right, to</w:t>
      </w:r>
      <w:proofErr w:type="gramEnd"/>
      <w:r w:rsidR="00877D15" w:rsidRPr="00996CF6">
        <w:rPr>
          <w:rFonts w:asciiTheme="minorHAnsi" w:hAnsiTheme="minorHAnsi" w:cstheme="minorHAnsi"/>
          <w:color w:val="auto"/>
          <w:sz w:val="24"/>
          <w:szCs w:val="24"/>
        </w:rPr>
        <w:t xml:space="preserve"> address the unique pressures that they can face.</w:t>
      </w:r>
      <w:bookmarkEnd w:id="34"/>
      <w:r w:rsidR="00877D15" w:rsidRPr="00996CF6">
        <w:rPr>
          <w:rFonts w:asciiTheme="minorHAnsi" w:hAnsiTheme="minorHAnsi" w:cstheme="minorHAnsi"/>
          <w:color w:val="auto"/>
          <w:sz w:val="24"/>
          <w:szCs w:val="24"/>
        </w:rPr>
        <w:t xml:space="preserve"> </w:t>
      </w:r>
    </w:p>
    <w:p w14:paraId="1523CCF2" w14:textId="77777777" w:rsidR="00996CF6" w:rsidRPr="00996CF6" w:rsidRDefault="00996CF6" w:rsidP="00996CF6"/>
    <w:p w14:paraId="00D847EC" w14:textId="2DCE385E" w:rsidR="00EB4472" w:rsidRPr="00C44B9C" w:rsidRDefault="00996CF6" w:rsidP="00996CF6">
      <w:pPr>
        <w:ind w:left="720" w:hanging="720"/>
        <w:rPr>
          <w:rFonts w:cstheme="minorHAnsi"/>
          <w:sz w:val="24"/>
          <w:szCs w:val="24"/>
        </w:rPr>
      </w:pPr>
      <w:r>
        <w:rPr>
          <w:rFonts w:cstheme="minorHAnsi"/>
          <w:sz w:val="24"/>
          <w:szCs w:val="24"/>
        </w:rPr>
        <w:t>74.</w:t>
      </w:r>
      <w:r>
        <w:rPr>
          <w:rFonts w:cstheme="minorHAnsi"/>
          <w:sz w:val="24"/>
          <w:szCs w:val="24"/>
        </w:rPr>
        <w:tab/>
      </w:r>
      <w:hyperlink r:id="rId21" w:history="1">
        <w:r w:rsidR="00877D15" w:rsidRPr="00996CF6">
          <w:rPr>
            <w:rStyle w:val="Hyperlink"/>
            <w:rFonts w:cstheme="minorHAnsi"/>
            <w:b/>
            <w:bCs/>
            <w:color w:val="auto"/>
            <w:sz w:val="24"/>
            <w:szCs w:val="24"/>
            <w:u w:val="none"/>
          </w:rPr>
          <w:t>VOCAL</w:t>
        </w:r>
      </w:hyperlink>
      <w:r w:rsidR="00877D15" w:rsidRPr="00C44B9C">
        <w:rPr>
          <w:rFonts w:eastAsiaTheme="majorEastAsia" w:cstheme="minorHAnsi"/>
          <w:color w:val="2F5496" w:themeColor="accent1" w:themeShade="BF"/>
          <w:sz w:val="24"/>
          <w:szCs w:val="24"/>
        </w:rPr>
        <w:t xml:space="preserve"> </w:t>
      </w:r>
      <w:r>
        <w:rPr>
          <w:rFonts w:cstheme="minorHAnsi"/>
          <w:sz w:val="24"/>
          <w:szCs w:val="24"/>
        </w:rPr>
        <w:t xml:space="preserve"> are</w:t>
      </w:r>
      <w:r w:rsidR="00877D15" w:rsidRPr="00C44B9C">
        <w:rPr>
          <w:rFonts w:cstheme="minorHAnsi"/>
          <w:sz w:val="24"/>
          <w:szCs w:val="24"/>
        </w:rPr>
        <w:t xml:space="preserve"> commission</w:t>
      </w:r>
      <w:r>
        <w:rPr>
          <w:rFonts w:cstheme="minorHAnsi"/>
          <w:sz w:val="24"/>
          <w:szCs w:val="24"/>
        </w:rPr>
        <w:t>ed</w:t>
      </w:r>
      <w:r w:rsidR="00877D15" w:rsidRPr="00C44B9C">
        <w:rPr>
          <w:rFonts w:cstheme="minorHAnsi"/>
          <w:sz w:val="24"/>
          <w:szCs w:val="24"/>
        </w:rPr>
        <w:t xml:space="preserve"> to support families affected by substance use. In 2023-24, they provided direct support to 246 carers, of which 77 were new, and an additional 67 were supported with advice and information. VOCAL now employs a senior worker, funded by EADP to increase capacity, promote family inclusive practice within adult treatment Hubs and undertake consultation with peoples lived and living experience to evidence outcomes and progress with Medication Assisted Treatment (MAT) standards. </w:t>
      </w:r>
    </w:p>
    <w:p w14:paraId="6E348953" w14:textId="497D4E74" w:rsidR="00877D15" w:rsidRDefault="00996CF6" w:rsidP="00996CF6">
      <w:pPr>
        <w:pStyle w:val="Heading2"/>
        <w:ind w:left="720" w:hanging="720"/>
        <w:rPr>
          <w:rFonts w:asciiTheme="minorHAnsi" w:hAnsiTheme="minorHAnsi" w:cstheme="minorHAnsi"/>
          <w:color w:val="auto"/>
          <w:sz w:val="24"/>
          <w:szCs w:val="24"/>
        </w:rPr>
      </w:pPr>
      <w:bookmarkStart w:id="35" w:name="_Toc174006761"/>
      <w:r w:rsidRPr="00996CF6">
        <w:rPr>
          <w:rFonts w:asciiTheme="minorHAnsi" w:hAnsiTheme="minorHAnsi" w:cstheme="minorHAnsi"/>
          <w:color w:val="auto"/>
          <w:sz w:val="24"/>
          <w:szCs w:val="24"/>
        </w:rPr>
        <w:lastRenderedPageBreak/>
        <w:t>75</w:t>
      </w:r>
      <w:r>
        <w:rPr>
          <w:rFonts w:asciiTheme="minorHAnsi" w:hAnsiTheme="minorHAnsi" w:cstheme="minorHAnsi"/>
          <w:color w:val="auto"/>
          <w:sz w:val="24"/>
          <w:szCs w:val="24"/>
        </w:rPr>
        <w:t>.</w:t>
      </w:r>
      <w:r>
        <w:rPr>
          <w:rFonts w:asciiTheme="minorHAnsi" w:hAnsiTheme="minorHAnsi" w:cstheme="minorHAnsi"/>
          <w:sz w:val="24"/>
          <w:szCs w:val="24"/>
        </w:rPr>
        <w:tab/>
      </w:r>
      <w:r w:rsidR="00877D15" w:rsidRPr="00996CF6">
        <w:rPr>
          <w:rFonts w:asciiTheme="minorHAnsi" w:hAnsiTheme="minorHAnsi" w:cstheme="minorHAnsi"/>
          <w:b/>
          <w:bCs/>
          <w:color w:val="auto"/>
          <w:sz w:val="24"/>
          <w:szCs w:val="24"/>
        </w:rPr>
        <w:t>Support for Pregnant substance</w:t>
      </w:r>
      <w:r w:rsidR="00FD0DCE" w:rsidRPr="00996CF6">
        <w:rPr>
          <w:rFonts w:asciiTheme="minorHAnsi" w:hAnsiTheme="minorHAnsi" w:cstheme="minorHAnsi"/>
          <w:b/>
          <w:bCs/>
          <w:color w:val="auto"/>
          <w:sz w:val="24"/>
          <w:szCs w:val="24"/>
        </w:rPr>
        <w:t xml:space="preserve"> users and their families</w:t>
      </w:r>
      <w:r w:rsidRPr="00996CF6">
        <w:rPr>
          <w:rFonts w:asciiTheme="minorHAnsi" w:hAnsiTheme="minorHAnsi" w:cstheme="minorHAnsi"/>
          <w:b/>
          <w:bCs/>
          <w:color w:val="auto"/>
          <w:sz w:val="24"/>
          <w:szCs w:val="24"/>
        </w:rPr>
        <w:t xml:space="preserve"> - </w:t>
      </w:r>
      <w:hyperlink r:id="rId22" w:history="1">
        <w:r w:rsidR="00877D15" w:rsidRPr="00996CF6">
          <w:rPr>
            <w:rStyle w:val="Hyperlink"/>
            <w:rFonts w:asciiTheme="minorHAnsi" w:hAnsiTheme="minorHAnsi" w:cstheme="minorHAnsi"/>
            <w:b/>
            <w:bCs/>
            <w:color w:val="auto"/>
            <w:sz w:val="24"/>
            <w:szCs w:val="24"/>
          </w:rPr>
          <w:t>PrePare</w:t>
        </w:r>
      </w:hyperlink>
      <w:r w:rsidR="00877D15" w:rsidRPr="00996CF6">
        <w:rPr>
          <w:rFonts w:asciiTheme="minorHAnsi" w:hAnsiTheme="minorHAnsi" w:cstheme="minorHAnsi"/>
          <w:color w:val="auto"/>
          <w:sz w:val="24"/>
          <w:szCs w:val="24"/>
        </w:rPr>
        <w:t xml:space="preserve"> is an early intervention, integrated, multi-disciplinary team who work with pregnant women and their partners who have significant issues with their substance use. </w:t>
      </w:r>
      <w:r w:rsidR="004E26C3" w:rsidRPr="00996CF6">
        <w:rPr>
          <w:rFonts w:asciiTheme="minorHAnsi" w:hAnsiTheme="minorHAnsi" w:cstheme="minorHAnsi"/>
          <w:color w:val="auto"/>
          <w:sz w:val="24"/>
          <w:szCs w:val="24"/>
        </w:rPr>
        <w:t xml:space="preserve"> </w:t>
      </w:r>
      <w:r w:rsidR="00877D15" w:rsidRPr="00996CF6">
        <w:rPr>
          <w:rFonts w:asciiTheme="minorHAnsi" w:hAnsiTheme="minorHAnsi" w:cstheme="minorHAnsi"/>
          <w:color w:val="auto"/>
          <w:sz w:val="24"/>
          <w:szCs w:val="24"/>
        </w:rPr>
        <w:t xml:space="preserve">They aim to reduce parental substance use and related harm to mother and child by providing health care, social </w:t>
      </w:r>
      <w:r w:rsidR="00BF4E15" w:rsidRPr="00996CF6">
        <w:rPr>
          <w:rFonts w:asciiTheme="minorHAnsi" w:hAnsiTheme="minorHAnsi" w:cstheme="minorHAnsi"/>
          <w:color w:val="auto"/>
          <w:sz w:val="24"/>
          <w:szCs w:val="24"/>
        </w:rPr>
        <w:t>care,</w:t>
      </w:r>
      <w:r w:rsidR="00877D15" w:rsidRPr="00996CF6">
        <w:rPr>
          <w:rFonts w:asciiTheme="minorHAnsi" w:hAnsiTheme="minorHAnsi" w:cstheme="minorHAnsi"/>
          <w:color w:val="auto"/>
          <w:sz w:val="24"/>
          <w:szCs w:val="24"/>
        </w:rPr>
        <w:t xml:space="preserve"> and support throughout the pregnancy and where necessary up to 2 years post birth. EADP funds an Early Years Worker who provides holistic family support as well as targeted support using the PuP framework. It integrates substance use treatment with support around the pregnancy and takes a whole family approach including father’s and kinship carers.</w:t>
      </w:r>
      <w:bookmarkEnd w:id="35"/>
      <w:r w:rsidR="00877D15" w:rsidRPr="00996CF6">
        <w:rPr>
          <w:rFonts w:asciiTheme="minorHAnsi" w:hAnsiTheme="minorHAnsi" w:cstheme="minorHAnsi"/>
          <w:color w:val="auto"/>
          <w:sz w:val="24"/>
          <w:szCs w:val="24"/>
        </w:rPr>
        <w:t xml:space="preserve"> </w:t>
      </w:r>
    </w:p>
    <w:p w14:paraId="4C2ADD65" w14:textId="77777777" w:rsidR="008160B0" w:rsidRDefault="008160B0" w:rsidP="008160B0"/>
    <w:p w14:paraId="42EB62FB" w14:textId="05BF36DF" w:rsidR="00282AAC" w:rsidRPr="00996CF6" w:rsidRDefault="01D99AB8" w:rsidP="00FD0DCE">
      <w:pPr>
        <w:pStyle w:val="Title"/>
        <w:rPr>
          <w:rFonts w:asciiTheme="minorHAnsi" w:hAnsiTheme="minorHAnsi" w:cstheme="minorHAnsi"/>
          <w:b/>
          <w:bCs/>
          <w:sz w:val="32"/>
          <w:szCs w:val="32"/>
        </w:rPr>
      </w:pPr>
      <w:bookmarkStart w:id="36" w:name="_Toc106377048"/>
      <w:bookmarkStart w:id="37" w:name="_Toc174006762"/>
      <w:bookmarkEnd w:id="30"/>
      <w:r w:rsidRPr="00996CF6">
        <w:rPr>
          <w:rFonts w:asciiTheme="minorHAnsi" w:hAnsiTheme="minorHAnsi" w:cstheme="minorHAnsi"/>
          <w:b/>
          <w:bCs/>
          <w:color w:val="4472C4" w:themeColor="accent1"/>
          <w:sz w:val="32"/>
          <w:szCs w:val="32"/>
        </w:rPr>
        <w:t>A Public Health Approach to Justice</w:t>
      </w:r>
      <w:bookmarkEnd w:id="36"/>
      <w:bookmarkEnd w:id="37"/>
      <w:r w:rsidRPr="00996CF6">
        <w:rPr>
          <w:rFonts w:asciiTheme="minorHAnsi" w:hAnsiTheme="minorHAnsi" w:cstheme="minorHAnsi"/>
          <w:b/>
          <w:bCs/>
          <w:color w:val="4472C4" w:themeColor="accent1"/>
          <w:sz w:val="32"/>
          <w:szCs w:val="32"/>
        </w:rPr>
        <w:t xml:space="preserve"> </w:t>
      </w:r>
    </w:p>
    <w:p w14:paraId="5B411717" w14:textId="072B2613" w:rsidR="00282AAC" w:rsidRPr="00996CF6" w:rsidRDefault="00282AAC" w:rsidP="00500275">
      <w:pPr>
        <w:rPr>
          <w:rFonts w:cstheme="minorHAnsi"/>
          <w:i/>
          <w:iCs/>
          <w:sz w:val="24"/>
          <w:szCs w:val="24"/>
        </w:rPr>
      </w:pPr>
      <w:r w:rsidRPr="00996CF6">
        <w:rPr>
          <w:rFonts w:cstheme="minorHAnsi"/>
          <w:i/>
          <w:iCs/>
          <w:sz w:val="24"/>
          <w:szCs w:val="24"/>
        </w:rPr>
        <w:t xml:space="preserve">HMP Edinburgh, </w:t>
      </w:r>
      <w:r w:rsidR="00996CF6">
        <w:rPr>
          <w:rFonts w:cstheme="minorHAnsi"/>
          <w:i/>
          <w:iCs/>
          <w:sz w:val="24"/>
          <w:szCs w:val="24"/>
        </w:rPr>
        <w:t xml:space="preserve">City of Edinburgh Council </w:t>
      </w:r>
      <w:r w:rsidRPr="00996CF6">
        <w:rPr>
          <w:rFonts w:cstheme="minorHAnsi"/>
          <w:i/>
          <w:iCs/>
          <w:sz w:val="24"/>
          <w:szCs w:val="24"/>
        </w:rPr>
        <w:t>Justice</w:t>
      </w:r>
      <w:r w:rsidR="00996CF6">
        <w:rPr>
          <w:rFonts w:cstheme="minorHAnsi"/>
          <w:i/>
          <w:iCs/>
          <w:sz w:val="24"/>
          <w:szCs w:val="24"/>
        </w:rPr>
        <w:t xml:space="preserve"> Services</w:t>
      </w:r>
      <w:r w:rsidRPr="00996CF6">
        <w:rPr>
          <w:rFonts w:cstheme="minorHAnsi"/>
          <w:i/>
          <w:iCs/>
          <w:sz w:val="24"/>
          <w:szCs w:val="24"/>
        </w:rPr>
        <w:t xml:space="preserve"> and Police Scotland are all key partners in the ADP. </w:t>
      </w:r>
    </w:p>
    <w:p w14:paraId="3B3DD9BB" w14:textId="115FF17D" w:rsidR="00282AAC" w:rsidRPr="00C44B9C" w:rsidRDefault="00996CF6" w:rsidP="00996CF6">
      <w:pPr>
        <w:pStyle w:val="Heading2"/>
        <w:ind w:left="720" w:hanging="720"/>
        <w:rPr>
          <w:rFonts w:asciiTheme="minorHAnsi" w:hAnsiTheme="minorHAnsi" w:cstheme="minorHAnsi"/>
          <w:sz w:val="24"/>
          <w:szCs w:val="24"/>
        </w:rPr>
      </w:pPr>
      <w:bookmarkStart w:id="38" w:name="_Toc106377049"/>
      <w:bookmarkStart w:id="39" w:name="_Toc174006763"/>
      <w:r w:rsidRPr="00996CF6">
        <w:rPr>
          <w:rFonts w:asciiTheme="minorHAnsi" w:hAnsiTheme="minorHAnsi" w:cstheme="minorHAnsi"/>
          <w:color w:val="auto"/>
          <w:sz w:val="24"/>
          <w:szCs w:val="24"/>
        </w:rPr>
        <w:t>76.</w:t>
      </w:r>
      <w:r>
        <w:rPr>
          <w:rFonts w:asciiTheme="minorHAnsi" w:hAnsiTheme="minorHAnsi" w:cstheme="minorHAnsi"/>
          <w:sz w:val="24"/>
          <w:szCs w:val="24"/>
        </w:rPr>
        <w:tab/>
      </w:r>
      <w:r w:rsidR="01D99AB8" w:rsidRPr="00996CF6">
        <w:rPr>
          <w:rFonts w:asciiTheme="minorHAnsi" w:hAnsiTheme="minorHAnsi" w:cstheme="minorHAnsi"/>
          <w:b/>
          <w:bCs/>
          <w:color w:val="auto"/>
          <w:sz w:val="24"/>
          <w:szCs w:val="24"/>
        </w:rPr>
        <w:t>HMP Edinburgh</w:t>
      </w:r>
      <w:r w:rsidR="01D99AB8" w:rsidRPr="00996CF6">
        <w:rPr>
          <w:rFonts w:asciiTheme="minorHAnsi" w:hAnsiTheme="minorHAnsi" w:cstheme="minorHAnsi"/>
          <w:color w:val="auto"/>
          <w:sz w:val="24"/>
          <w:szCs w:val="24"/>
        </w:rPr>
        <w:t>:</w:t>
      </w:r>
      <w:bookmarkEnd w:id="38"/>
      <w:r w:rsidRPr="00996CF6">
        <w:rPr>
          <w:rFonts w:asciiTheme="minorHAnsi" w:hAnsiTheme="minorHAnsi" w:cstheme="minorHAnsi"/>
          <w:color w:val="auto"/>
          <w:sz w:val="24"/>
          <w:szCs w:val="24"/>
        </w:rPr>
        <w:t xml:space="preserve"> </w:t>
      </w:r>
      <w:r w:rsidR="00282AAC" w:rsidRPr="00996CF6">
        <w:rPr>
          <w:rFonts w:asciiTheme="minorHAnsi" w:hAnsiTheme="minorHAnsi" w:cstheme="minorHAnsi"/>
          <w:color w:val="auto"/>
          <w:sz w:val="24"/>
          <w:szCs w:val="24"/>
        </w:rPr>
        <w:t xml:space="preserve">In 2019/20, EADP initiated and participated in </w:t>
      </w:r>
      <w:r w:rsidR="00BF4E15" w:rsidRPr="00996CF6">
        <w:rPr>
          <w:rFonts w:asciiTheme="minorHAnsi" w:hAnsiTheme="minorHAnsi" w:cstheme="minorHAnsi"/>
          <w:color w:val="auto"/>
          <w:sz w:val="24"/>
          <w:szCs w:val="24"/>
        </w:rPr>
        <w:t>an</w:t>
      </w:r>
      <w:r w:rsidR="00282AAC" w:rsidRPr="00996CF6">
        <w:rPr>
          <w:rFonts w:asciiTheme="minorHAnsi" w:hAnsiTheme="minorHAnsi" w:cstheme="minorHAnsi"/>
          <w:color w:val="auto"/>
          <w:sz w:val="24"/>
          <w:szCs w:val="24"/>
        </w:rPr>
        <w:t xml:space="preserve"> </w:t>
      </w:r>
      <w:r w:rsidR="00D90F8E" w:rsidRPr="00996CF6">
        <w:rPr>
          <w:rFonts w:asciiTheme="minorHAnsi" w:hAnsiTheme="minorHAnsi" w:cstheme="minorHAnsi"/>
          <w:color w:val="auto"/>
          <w:sz w:val="24"/>
          <w:szCs w:val="24"/>
        </w:rPr>
        <w:t xml:space="preserve">NHS Lothian </w:t>
      </w:r>
      <w:r w:rsidR="005466EC" w:rsidRPr="00996CF6">
        <w:rPr>
          <w:rFonts w:asciiTheme="minorHAnsi" w:hAnsiTheme="minorHAnsi" w:cstheme="minorHAnsi"/>
          <w:color w:val="auto"/>
          <w:sz w:val="24"/>
          <w:szCs w:val="24"/>
        </w:rPr>
        <w:t>(</w:t>
      </w:r>
      <w:r w:rsidR="00282AAC" w:rsidRPr="00996CF6">
        <w:rPr>
          <w:rFonts w:asciiTheme="minorHAnsi" w:hAnsiTheme="minorHAnsi" w:cstheme="minorHAnsi"/>
          <w:color w:val="auto"/>
          <w:sz w:val="24"/>
          <w:szCs w:val="24"/>
        </w:rPr>
        <w:t>NHSL</w:t>
      </w:r>
      <w:r w:rsidR="005466EC" w:rsidRPr="00996CF6">
        <w:rPr>
          <w:rFonts w:asciiTheme="minorHAnsi" w:hAnsiTheme="minorHAnsi" w:cstheme="minorHAnsi"/>
          <w:color w:val="auto"/>
          <w:sz w:val="24"/>
          <w:szCs w:val="24"/>
        </w:rPr>
        <w:t>)</w:t>
      </w:r>
      <w:r w:rsidR="00282AAC" w:rsidRPr="00996CF6">
        <w:rPr>
          <w:rFonts w:asciiTheme="minorHAnsi" w:hAnsiTheme="minorHAnsi" w:cstheme="minorHAnsi"/>
          <w:color w:val="auto"/>
          <w:sz w:val="24"/>
          <w:szCs w:val="24"/>
        </w:rPr>
        <w:t xml:space="preserve">-led Review of Resources &amp; The Addiction Pathway for Drug &amp; Alcohol Treatment </w:t>
      </w:r>
      <w:r w:rsidR="00F91207" w:rsidRPr="00996CF6">
        <w:rPr>
          <w:rFonts w:asciiTheme="minorHAnsi" w:hAnsiTheme="minorHAnsi" w:cstheme="minorHAnsi"/>
          <w:color w:val="auto"/>
          <w:sz w:val="24"/>
          <w:szCs w:val="24"/>
        </w:rPr>
        <w:t>in</w:t>
      </w:r>
      <w:r w:rsidR="00282AAC" w:rsidRPr="00996CF6">
        <w:rPr>
          <w:rFonts w:asciiTheme="minorHAnsi" w:hAnsiTheme="minorHAnsi" w:cstheme="minorHAnsi"/>
          <w:color w:val="auto"/>
          <w:sz w:val="24"/>
          <w:szCs w:val="24"/>
        </w:rPr>
        <w:t xml:space="preserve"> HMP Edinburgh, which reported in November 2019. This report ma</w:t>
      </w:r>
      <w:r>
        <w:rPr>
          <w:rFonts w:asciiTheme="minorHAnsi" w:hAnsiTheme="minorHAnsi" w:cstheme="minorHAnsi"/>
          <w:color w:val="auto"/>
          <w:sz w:val="24"/>
          <w:szCs w:val="24"/>
        </w:rPr>
        <w:t>de</w:t>
      </w:r>
      <w:r w:rsidR="00282AAC" w:rsidRPr="00996CF6">
        <w:rPr>
          <w:rFonts w:asciiTheme="minorHAnsi" w:hAnsiTheme="minorHAnsi" w:cstheme="minorHAnsi"/>
          <w:color w:val="auto"/>
          <w:sz w:val="24"/>
          <w:szCs w:val="24"/>
        </w:rPr>
        <w:t xml:space="preserve"> </w:t>
      </w:r>
      <w:r w:rsidR="00F91207" w:rsidRPr="00996CF6">
        <w:rPr>
          <w:rFonts w:asciiTheme="minorHAnsi" w:hAnsiTheme="minorHAnsi" w:cstheme="minorHAnsi"/>
          <w:color w:val="auto"/>
          <w:sz w:val="24"/>
          <w:szCs w:val="24"/>
        </w:rPr>
        <w:t>several</w:t>
      </w:r>
      <w:r w:rsidR="00282AAC" w:rsidRPr="00996CF6">
        <w:rPr>
          <w:rFonts w:asciiTheme="minorHAnsi" w:hAnsiTheme="minorHAnsi" w:cstheme="minorHAnsi"/>
          <w:color w:val="auto"/>
          <w:sz w:val="24"/>
          <w:szCs w:val="24"/>
        </w:rPr>
        <w:t xml:space="preserve"> recommendations for consideration by NHS Lothian and Edinburgh Alcohol &amp; Drug Partnership. It also highlight</w:t>
      </w:r>
      <w:r>
        <w:rPr>
          <w:rFonts w:asciiTheme="minorHAnsi" w:hAnsiTheme="minorHAnsi" w:cstheme="minorHAnsi"/>
          <w:color w:val="auto"/>
          <w:sz w:val="24"/>
          <w:szCs w:val="24"/>
        </w:rPr>
        <w:t>ed</w:t>
      </w:r>
      <w:r w:rsidR="00282AAC" w:rsidRPr="00996CF6">
        <w:rPr>
          <w:rFonts w:asciiTheme="minorHAnsi" w:hAnsiTheme="minorHAnsi" w:cstheme="minorHAnsi"/>
          <w:color w:val="auto"/>
          <w:sz w:val="24"/>
          <w:szCs w:val="24"/>
        </w:rPr>
        <w:t xml:space="preserve"> other areas where improvements could be made that might have a beneficial effect on the prison environment, </w:t>
      </w:r>
      <w:r w:rsidR="0091794F" w:rsidRPr="00996CF6">
        <w:rPr>
          <w:rFonts w:asciiTheme="minorHAnsi" w:hAnsiTheme="minorHAnsi" w:cstheme="minorHAnsi"/>
          <w:color w:val="auto"/>
          <w:sz w:val="24"/>
          <w:szCs w:val="24"/>
        </w:rPr>
        <w:t>prisoners,</w:t>
      </w:r>
      <w:r w:rsidR="00282AAC" w:rsidRPr="00996CF6">
        <w:rPr>
          <w:rFonts w:asciiTheme="minorHAnsi" w:hAnsiTheme="minorHAnsi" w:cstheme="minorHAnsi"/>
          <w:color w:val="auto"/>
          <w:sz w:val="24"/>
          <w:szCs w:val="24"/>
        </w:rPr>
        <w:t xml:space="preserve"> and staff in relation to coping with and addressing substance use and mental health issues. The recommendations cover</w:t>
      </w:r>
      <w:r>
        <w:rPr>
          <w:rFonts w:asciiTheme="minorHAnsi" w:hAnsiTheme="minorHAnsi" w:cstheme="minorHAnsi"/>
          <w:color w:val="auto"/>
          <w:sz w:val="24"/>
          <w:szCs w:val="24"/>
        </w:rPr>
        <w:t>ed</w:t>
      </w:r>
      <w:r w:rsidR="00282AAC" w:rsidRPr="00996CF6">
        <w:rPr>
          <w:rFonts w:asciiTheme="minorHAnsi" w:hAnsiTheme="minorHAnsi" w:cstheme="minorHAnsi"/>
          <w:color w:val="auto"/>
          <w:sz w:val="24"/>
          <w:szCs w:val="24"/>
        </w:rPr>
        <w:t xml:space="preserve"> the following areas:</w:t>
      </w:r>
      <w:bookmarkEnd w:id="39"/>
      <w:r w:rsidR="00282AAC" w:rsidRPr="00996CF6">
        <w:rPr>
          <w:rFonts w:asciiTheme="minorHAnsi" w:hAnsiTheme="minorHAnsi" w:cstheme="minorHAnsi"/>
          <w:color w:val="auto"/>
          <w:sz w:val="24"/>
          <w:szCs w:val="24"/>
        </w:rPr>
        <w:t xml:space="preserve"> </w:t>
      </w:r>
    </w:p>
    <w:p w14:paraId="4ED6A14A" w14:textId="77777777" w:rsidR="00282AAC" w:rsidRPr="00C44B9C" w:rsidRDefault="00282AAC" w:rsidP="002A7CD6">
      <w:pPr>
        <w:pStyle w:val="ListParagraph"/>
        <w:numPr>
          <w:ilvl w:val="0"/>
          <w:numId w:val="2"/>
        </w:numPr>
        <w:rPr>
          <w:rFonts w:cstheme="minorHAnsi"/>
          <w:sz w:val="24"/>
          <w:szCs w:val="24"/>
        </w:rPr>
      </w:pPr>
      <w:r w:rsidRPr="00C44B9C">
        <w:rPr>
          <w:rFonts w:cstheme="minorHAnsi"/>
          <w:sz w:val="24"/>
          <w:szCs w:val="24"/>
        </w:rPr>
        <w:t xml:space="preserve">Remand Prisoners </w:t>
      </w:r>
    </w:p>
    <w:p w14:paraId="1AF6833B" w14:textId="77777777" w:rsidR="00282AAC" w:rsidRPr="00C44B9C" w:rsidRDefault="00282AAC" w:rsidP="002A7CD6">
      <w:pPr>
        <w:pStyle w:val="ListParagraph"/>
        <w:numPr>
          <w:ilvl w:val="0"/>
          <w:numId w:val="2"/>
        </w:numPr>
        <w:rPr>
          <w:rFonts w:cstheme="minorHAnsi"/>
          <w:sz w:val="24"/>
          <w:szCs w:val="24"/>
        </w:rPr>
      </w:pPr>
      <w:r w:rsidRPr="00C44B9C">
        <w:rPr>
          <w:rFonts w:cstheme="minorHAnsi"/>
          <w:sz w:val="24"/>
          <w:szCs w:val="24"/>
        </w:rPr>
        <w:t xml:space="preserve">Safe discharge for all prisoners </w:t>
      </w:r>
    </w:p>
    <w:p w14:paraId="7E151EC2" w14:textId="77777777" w:rsidR="00282AAC" w:rsidRPr="00C44B9C" w:rsidRDefault="00282AAC" w:rsidP="002A7CD6">
      <w:pPr>
        <w:pStyle w:val="ListParagraph"/>
        <w:numPr>
          <w:ilvl w:val="0"/>
          <w:numId w:val="2"/>
        </w:numPr>
        <w:rPr>
          <w:rFonts w:cstheme="minorHAnsi"/>
          <w:sz w:val="24"/>
          <w:szCs w:val="24"/>
        </w:rPr>
      </w:pPr>
      <w:r w:rsidRPr="00C44B9C">
        <w:rPr>
          <w:rFonts w:cstheme="minorHAnsi"/>
          <w:sz w:val="24"/>
          <w:szCs w:val="24"/>
        </w:rPr>
        <w:t xml:space="preserve">Equitable access for all prisoners to addiction treatment and care services </w:t>
      </w:r>
    </w:p>
    <w:p w14:paraId="0B49FEC0" w14:textId="77777777" w:rsidR="00282AAC" w:rsidRPr="00C44B9C" w:rsidRDefault="00282AAC" w:rsidP="002A7CD6">
      <w:pPr>
        <w:pStyle w:val="ListParagraph"/>
        <w:numPr>
          <w:ilvl w:val="0"/>
          <w:numId w:val="2"/>
        </w:numPr>
        <w:rPr>
          <w:rFonts w:cstheme="minorHAnsi"/>
          <w:sz w:val="24"/>
          <w:szCs w:val="24"/>
        </w:rPr>
      </w:pPr>
      <w:r w:rsidRPr="00C44B9C">
        <w:rPr>
          <w:rFonts w:cstheme="minorHAnsi"/>
          <w:sz w:val="24"/>
          <w:szCs w:val="24"/>
        </w:rPr>
        <w:t xml:space="preserve">Workforce development  </w:t>
      </w:r>
    </w:p>
    <w:p w14:paraId="30BED269" w14:textId="77777777" w:rsidR="00282AAC" w:rsidRPr="00C44B9C" w:rsidRDefault="00282AAC" w:rsidP="002A7CD6">
      <w:pPr>
        <w:pStyle w:val="ListParagraph"/>
        <w:numPr>
          <w:ilvl w:val="0"/>
          <w:numId w:val="2"/>
        </w:numPr>
        <w:rPr>
          <w:rFonts w:cstheme="minorHAnsi"/>
          <w:sz w:val="24"/>
          <w:szCs w:val="24"/>
        </w:rPr>
      </w:pPr>
      <w:r w:rsidRPr="00C44B9C">
        <w:rPr>
          <w:rFonts w:cstheme="minorHAnsi"/>
          <w:sz w:val="24"/>
          <w:szCs w:val="24"/>
        </w:rPr>
        <w:t xml:space="preserve">Communication </w:t>
      </w:r>
    </w:p>
    <w:p w14:paraId="239AC4A3" w14:textId="77777777" w:rsidR="00282AAC" w:rsidRPr="00C44B9C" w:rsidRDefault="00282AAC" w:rsidP="002A7CD6">
      <w:pPr>
        <w:pStyle w:val="ListParagraph"/>
        <w:numPr>
          <w:ilvl w:val="0"/>
          <w:numId w:val="2"/>
        </w:numPr>
        <w:rPr>
          <w:rFonts w:cstheme="minorHAnsi"/>
          <w:sz w:val="24"/>
          <w:szCs w:val="24"/>
        </w:rPr>
      </w:pPr>
      <w:r w:rsidRPr="00C44B9C">
        <w:rPr>
          <w:rFonts w:cstheme="minorHAnsi"/>
          <w:sz w:val="24"/>
          <w:szCs w:val="24"/>
        </w:rPr>
        <w:t xml:space="preserve">Resources  </w:t>
      </w:r>
    </w:p>
    <w:p w14:paraId="33F756DE" w14:textId="02D8C4CD" w:rsidR="00EB4472" w:rsidRPr="00C44B9C" w:rsidRDefault="00996CF6" w:rsidP="00996CF6">
      <w:pPr>
        <w:ind w:left="720" w:hanging="720"/>
        <w:rPr>
          <w:rFonts w:cstheme="minorHAnsi"/>
          <w:sz w:val="24"/>
          <w:szCs w:val="24"/>
        </w:rPr>
      </w:pPr>
      <w:r>
        <w:rPr>
          <w:rFonts w:cstheme="minorHAnsi"/>
          <w:sz w:val="24"/>
          <w:szCs w:val="24"/>
        </w:rPr>
        <w:t>77,</w:t>
      </w:r>
      <w:r>
        <w:rPr>
          <w:rFonts w:cstheme="minorHAnsi"/>
          <w:sz w:val="24"/>
          <w:szCs w:val="24"/>
        </w:rPr>
        <w:tab/>
      </w:r>
      <w:r w:rsidR="01D99AB8" w:rsidRPr="00C44B9C">
        <w:rPr>
          <w:rFonts w:cstheme="minorHAnsi"/>
          <w:sz w:val="24"/>
          <w:szCs w:val="24"/>
        </w:rPr>
        <w:t xml:space="preserve">Following these recommendations, the ADP and IJB agreed funding for a team to work with remand prisoners and to improve continuity of care at release for Edinburgh prisoners. Implementation of the planned expanded service </w:t>
      </w:r>
      <w:r w:rsidR="00B748E4" w:rsidRPr="00C44B9C">
        <w:rPr>
          <w:rFonts w:cstheme="minorHAnsi"/>
          <w:sz w:val="24"/>
          <w:szCs w:val="24"/>
        </w:rPr>
        <w:t xml:space="preserve">was </w:t>
      </w:r>
      <w:r w:rsidR="01D99AB8" w:rsidRPr="00C44B9C">
        <w:rPr>
          <w:rFonts w:cstheme="minorHAnsi"/>
          <w:sz w:val="24"/>
          <w:szCs w:val="24"/>
        </w:rPr>
        <w:t xml:space="preserve">delayed by COVID restrictions and latterly by extreme difficulties recruiting clinical staff which have meant that implementation of the NHS component </w:t>
      </w:r>
      <w:r w:rsidR="00877D15" w:rsidRPr="00C44B9C">
        <w:rPr>
          <w:rFonts w:cstheme="minorHAnsi"/>
          <w:sz w:val="24"/>
          <w:szCs w:val="24"/>
        </w:rPr>
        <w:t xml:space="preserve">was only possible near the end of 2023-24 </w:t>
      </w:r>
      <w:r w:rsidR="00EB4472" w:rsidRPr="00C44B9C">
        <w:rPr>
          <w:rFonts w:cstheme="minorHAnsi"/>
          <w:sz w:val="24"/>
          <w:szCs w:val="24"/>
        </w:rPr>
        <w:t>However,</w:t>
      </w:r>
      <w:r w:rsidR="007C4084" w:rsidRPr="00C44B9C">
        <w:rPr>
          <w:rFonts w:cstheme="minorHAnsi"/>
          <w:sz w:val="24"/>
          <w:szCs w:val="24"/>
        </w:rPr>
        <w:t xml:space="preserve"> despite the challenges, </w:t>
      </w:r>
      <w:r w:rsidR="00EB4472" w:rsidRPr="00C44B9C">
        <w:rPr>
          <w:rFonts w:cstheme="minorHAnsi"/>
          <w:sz w:val="24"/>
          <w:szCs w:val="24"/>
        </w:rPr>
        <w:t xml:space="preserve">treatment services at HMP Edinburgh have been noted as an example of national best practice in the implementation of MAT standards </w:t>
      </w:r>
      <w:r w:rsidR="007C4084" w:rsidRPr="00C44B9C">
        <w:rPr>
          <w:rFonts w:cstheme="minorHAnsi"/>
          <w:sz w:val="24"/>
          <w:szCs w:val="24"/>
        </w:rPr>
        <w:t xml:space="preserve">in a prison setting </w:t>
      </w:r>
      <w:hyperlink r:id="rId23" w:history="1">
        <w:r w:rsidR="007C4084" w:rsidRPr="00C44B9C">
          <w:rPr>
            <w:rStyle w:val="Hyperlink"/>
            <w:rFonts w:cstheme="minorHAnsi"/>
            <w:sz w:val="24"/>
            <w:szCs w:val="24"/>
          </w:rPr>
          <w:t>(p.61)</w:t>
        </w:r>
      </w:hyperlink>
    </w:p>
    <w:p w14:paraId="40162183" w14:textId="3F11355D" w:rsidR="00282AAC" w:rsidRPr="00996CF6" w:rsidRDefault="00996CF6" w:rsidP="00996CF6">
      <w:pPr>
        <w:pStyle w:val="Heading2"/>
        <w:ind w:left="720" w:hanging="720"/>
        <w:rPr>
          <w:rFonts w:asciiTheme="minorHAnsi" w:eastAsia="Times New Roman" w:hAnsiTheme="minorHAnsi" w:cstheme="minorHAnsi"/>
          <w:color w:val="auto"/>
          <w:sz w:val="24"/>
          <w:szCs w:val="24"/>
        </w:rPr>
      </w:pPr>
      <w:bookmarkStart w:id="40" w:name="_Toc106377050"/>
      <w:bookmarkStart w:id="41" w:name="_Toc174006764"/>
      <w:r w:rsidRPr="00996CF6">
        <w:rPr>
          <w:rFonts w:asciiTheme="minorHAnsi" w:eastAsia="Times New Roman" w:hAnsiTheme="minorHAnsi" w:cstheme="minorHAnsi"/>
          <w:color w:val="auto"/>
          <w:sz w:val="24"/>
          <w:szCs w:val="24"/>
        </w:rPr>
        <w:t>78.</w:t>
      </w:r>
      <w:r w:rsidRPr="00996CF6">
        <w:rPr>
          <w:rFonts w:asciiTheme="minorHAnsi" w:eastAsia="Times New Roman" w:hAnsiTheme="minorHAnsi" w:cstheme="minorHAnsi"/>
          <w:color w:val="auto"/>
          <w:sz w:val="24"/>
          <w:szCs w:val="24"/>
        </w:rPr>
        <w:tab/>
      </w:r>
      <w:bookmarkEnd w:id="40"/>
      <w:r w:rsidR="00282AAC" w:rsidRPr="00996CF6">
        <w:rPr>
          <w:rFonts w:asciiTheme="minorHAnsi" w:eastAsia="Times New Roman" w:hAnsiTheme="minorHAnsi" w:cstheme="minorHAnsi"/>
          <w:b/>
          <w:bCs/>
          <w:color w:val="auto"/>
          <w:sz w:val="24"/>
          <w:szCs w:val="24"/>
        </w:rPr>
        <w:t>Drug Treatment and Testing Orders</w:t>
      </w:r>
      <w:r w:rsidR="00282AAC" w:rsidRPr="00996CF6">
        <w:rPr>
          <w:rFonts w:asciiTheme="minorHAnsi" w:eastAsia="Times New Roman" w:hAnsiTheme="minorHAnsi" w:cstheme="minorHAnsi"/>
          <w:color w:val="auto"/>
          <w:sz w:val="24"/>
          <w:szCs w:val="24"/>
        </w:rPr>
        <w:t xml:space="preserve"> (DTTOs) are community sentences imposed by criminal courts following a conviction in cases where drug treatment is seen as the primary means of reducing offending behaviour. The specific objectives of DTTOs are to:</w:t>
      </w:r>
      <w:bookmarkEnd w:id="41"/>
      <w:r w:rsidR="00282AAC" w:rsidRPr="00996CF6">
        <w:rPr>
          <w:rFonts w:asciiTheme="minorHAnsi" w:eastAsia="Times New Roman" w:hAnsiTheme="minorHAnsi" w:cstheme="minorHAnsi"/>
          <w:color w:val="auto"/>
          <w:sz w:val="24"/>
          <w:szCs w:val="24"/>
        </w:rPr>
        <w:t xml:space="preserve"> </w:t>
      </w:r>
    </w:p>
    <w:p w14:paraId="2C107DD3" w14:textId="77777777" w:rsidR="00282AAC" w:rsidRPr="00996CF6" w:rsidRDefault="00282AAC" w:rsidP="00996CF6">
      <w:pPr>
        <w:pStyle w:val="ListParagraph"/>
        <w:numPr>
          <w:ilvl w:val="0"/>
          <w:numId w:val="26"/>
        </w:numPr>
        <w:spacing w:after="0" w:line="240" w:lineRule="auto"/>
        <w:rPr>
          <w:rFonts w:eastAsia="Times New Roman" w:cstheme="minorHAnsi"/>
          <w:sz w:val="24"/>
          <w:szCs w:val="24"/>
        </w:rPr>
      </w:pPr>
      <w:r w:rsidRPr="00996CF6">
        <w:rPr>
          <w:rFonts w:eastAsia="Times New Roman" w:cstheme="minorHAnsi"/>
          <w:sz w:val="24"/>
          <w:szCs w:val="24"/>
        </w:rPr>
        <w:t>reduce or eliminate an offender’s dependency or propensity to misuse drugs</w:t>
      </w:r>
    </w:p>
    <w:p w14:paraId="0FB7DC53" w14:textId="77777777" w:rsidR="00282AAC" w:rsidRPr="00996CF6" w:rsidRDefault="00282AAC" w:rsidP="00996CF6">
      <w:pPr>
        <w:pStyle w:val="ListParagraph"/>
        <w:numPr>
          <w:ilvl w:val="0"/>
          <w:numId w:val="26"/>
        </w:numPr>
        <w:spacing w:after="0" w:line="240" w:lineRule="auto"/>
        <w:rPr>
          <w:rFonts w:eastAsia="Times New Roman" w:cstheme="minorHAnsi"/>
          <w:sz w:val="24"/>
          <w:szCs w:val="24"/>
        </w:rPr>
      </w:pPr>
      <w:r w:rsidRPr="00996CF6">
        <w:rPr>
          <w:rFonts w:eastAsia="Times New Roman" w:cstheme="minorHAnsi"/>
          <w:sz w:val="24"/>
          <w:szCs w:val="24"/>
        </w:rPr>
        <w:t>achieve positive changes in the scale and frequency of drug related offending</w:t>
      </w:r>
    </w:p>
    <w:p w14:paraId="1B8C195F" w14:textId="77777777" w:rsidR="00282AAC" w:rsidRPr="00C44B9C" w:rsidRDefault="00282AAC" w:rsidP="00500275">
      <w:pPr>
        <w:pStyle w:val="ListParagraph"/>
        <w:spacing w:after="0" w:line="240" w:lineRule="auto"/>
        <w:ind w:left="360"/>
        <w:rPr>
          <w:rFonts w:eastAsia="Times New Roman" w:cstheme="minorHAnsi"/>
          <w:sz w:val="24"/>
          <w:szCs w:val="24"/>
        </w:rPr>
      </w:pPr>
    </w:p>
    <w:p w14:paraId="22F9E377" w14:textId="5431E287" w:rsidR="544D2540" w:rsidRPr="00C44B9C" w:rsidRDefault="0022697E" w:rsidP="0022697E">
      <w:pPr>
        <w:pStyle w:val="ListParagraph"/>
        <w:spacing w:after="0" w:line="240" w:lineRule="auto"/>
        <w:ind w:hanging="720"/>
        <w:rPr>
          <w:rFonts w:cstheme="minorHAnsi"/>
          <w:sz w:val="24"/>
          <w:szCs w:val="24"/>
        </w:rPr>
      </w:pPr>
      <w:r>
        <w:rPr>
          <w:rFonts w:eastAsia="Arial" w:cstheme="minorHAnsi"/>
          <w:sz w:val="24"/>
          <w:szCs w:val="24"/>
        </w:rPr>
        <w:lastRenderedPageBreak/>
        <w:t>79.</w:t>
      </w:r>
      <w:r>
        <w:rPr>
          <w:rFonts w:eastAsia="Arial" w:cstheme="minorHAnsi"/>
          <w:sz w:val="24"/>
          <w:szCs w:val="24"/>
        </w:rPr>
        <w:tab/>
      </w:r>
      <w:r w:rsidR="544D2540" w:rsidRPr="00C44B9C">
        <w:rPr>
          <w:rFonts w:eastAsia="Arial" w:cstheme="minorHAnsi"/>
          <w:sz w:val="24"/>
          <w:szCs w:val="24"/>
        </w:rPr>
        <w:t xml:space="preserve">Historically in Edinburgh all elements of the order </w:t>
      </w:r>
      <w:r w:rsidR="006856A6" w:rsidRPr="00C44B9C">
        <w:rPr>
          <w:rFonts w:eastAsia="Arial" w:cstheme="minorHAnsi"/>
          <w:sz w:val="24"/>
          <w:szCs w:val="24"/>
        </w:rPr>
        <w:t>were</w:t>
      </w:r>
      <w:r w:rsidR="544D2540" w:rsidRPr="00C44B9C">
        <w:rPr>
          <w:rFonts w:eastAsia="Arial" w:cstheme="minorHAnsi"/>
          <w:sz w:val="24"/>
          <w:szCs w:val="24"/>
        </w:rPr>
        <w:t xml:space="preserve"> provided by a single multidisciplinary team; nursing and medical staff employed by NHS Lothian and a co-located team of staff employed by CEC Justice</w:t>
      </w:r>
      <w:r w:rsidR="006856A6" w:rsidRPr="00C44B9C">
        <w:rPr>
          <w:rFonts w:eastAsia="Arial" w:cstheme="minorHAnsi"/>
          <w:sz w:val="24"/>
          <w:szCs w:val="24"/>
        </w:rPr>
        <w:t xml:space="preserve"> Services</w:t>
      </w:r>
      <w:r w:rsidR="544D2540" w:rsidRPr="00C44B9C">
        <w:rPr>
          <w:rFonts w:eastAsia="Arial" w:cstheme="minorHAnsi"/>
          <w:sz w:val="24"/>
          <w:szCs w:val="24"/>
        </w:rPr>
        <w:t>. All of this has been funded and managed by Justice Services through Section 27 Justice funding.</w:t>
      </w:r>
    </w:p>
    <w:p w14:paraId="2390463E" w14:textId="0497E648" w:rsidR="394D0E43" w:rsidRPr="00C44B9C" w:rsidRDefault="394D0E43" w:rsidP="00500275">
      <w:pPr>
        <w:pStyle w:val="ListParagraph"/>
        <w:spacing w:after="0" w:line="240" w:lineRule="auto"/>
        <w:ind w:left="0"/>
        <w:rPr>
          <w:rFonts w:eastAsia="Arial" w:cstheme="minorHAnsi"/>
          <w:sz w:val="24"/>
          <w:szCs w:val="24"/>
        </w:rPr>
      </w:pPr>
    </w:p>
    <w:p w14:paraId="16299047" w14:textId="386E633C" w:rsidR="544D2540" w:rsidRPr="00C44B9C" w:rsidRDefault="0022697E" w:rsidP="0022697E">
      <w:pPr>
        <w:spacing w:line="276" w:lineRule="auto"/>
        <w:ind w:left="720" w:hanging="720"/>
        <w:rPr>
          <w:rFonts w:eastAsia="Arial" w:cstheme="minorHAnsi"/>
          <w:sz w:val="24"/>
          <w:szCs w:val="24"/>
        </w:rPr>
      </w:pPr>
      <w:r>
        <w:rPr>
          <w:rFonts w:eastAsia="Arial" w:cstheme="minorHAnsi"/>
          <w:sz w:val="24"/>
          <w:szCs w:val="24"/>
        </w:rPr>
        <w:t>80.</w:t>
      </w:r>
      <w:r>
        <w:rPr>
          <w:rFonts w:eastAsia="Arial" w:cstheme="minorHAnsi"/>
          <w:sz w:val="24"/>
          <w:szCs w:val="24"/>
        </w:rPr>
        <w:tab/>
      </w:r>
      <w:r w:rsidR="544D2540" w:rsidRPr="00C44B9C">
        <w:rPr>
          <w:rFonts w:eastAsia="Arial" w:cstheme="minorHAnsi"/>
          <w:sz w:val="24"/>
          <w:szCs w:val="24"/>
        </w:rPr>
        <w:t xml:space="preserve">Over the course of </w:t>
      </w:r>
      <w:r w:rsidR="006856A6" w:rsidRPr="00C44B9C">
        <w:rPr>
          <w:rFonts w:eastAsia="Arial" w:cstheme="minorHAnsi"/>
          <w:sz w:val="24"/>
          <w:szCs w:val="24"/>
        </w:rPr>
        <w:t xml:space="preserve">most of </w:t>
      </w:r>
      <w:r w:rsidR="00E96E5A" w:rsidRPr="00C44B9C">
        <w:rPr>
          <w:rFonts w:eastAsia="Arial" w:cstheme="minorHAnsi"/>
          <w:sz w:val="24"/>
          <w:szCs w:val="24"/>
        </w:rPr>
        <w:t>2022-</w:t>
      </w:r>
      <w:r w:rsidR="006856A6" w:rsidRPr="00C44B9C">
        <w:rPr>
          <w:rFonts w:eastAsia="Arial" w:cstheme="minorHAnsi"/>
          <w:sz w:val="24"/>
          <w:szCs w:val="24"/>
        </w:rPr>
        <w:t xml:space="preserve">23 and all of 2023-24 </w:t>
      </w:r>
      <w:r w:rsidR="00E96E5A" w:rsidRPr="00C44B9C">
        <w:rPr>
          <w:rFonts w:eastAsia="Arial" w:cstheme="minorHAnsi"/>
          <w:sz w:val="24"/>
          <w:szCs w:val="24"/>
        </w:rPr>
        <w:t xml:space="preserve">the service has been suspended </w:t>
      </w:r>
      <w:r w:rsidR="544D2540" w:rsidRPr="00C44B9C">
        <w:rPr>
          <w:rFonts w:eastAsia="Arial" w:cstheme="minorHAnsi"/>
          <w:sz w:val="24"/>
          <w:szCs w:val="24"/>
        </w:rPr>
        <w:t>to new assessments/order</w:t>
      </w:r>
      <w:r w:rsidR="00116081" w:rsidRPr="00C44B9C">
        <w:rPr>
          <w:rFonts w:eastAsia="Arial" w:cstheme="minorHAnsi"/>
          <w:sz w:val="24"/>
          <w:szCs w:val="24"/>
        </w:rPr>
        <w:t>s</w:t>
      </w:r>
      <w:r w:rsidR="00407B15">
        <w:rPr>
          <w:rFonts w:eastAsia="Arial" w:cstheme="minorHAnsi"/>
          <w:sz w:val="24"/>
          <w:szCs w:val="24"/>
        </w:rPr>
        <w:t xml:space="preserve">. </w:t>
      </w:r>
      <w:r w:rsidR="73C5E8AF" w:rsidRPr="00C44B9C">
        <w:rPr>
          <w:rFonts w:eastAsia="Arial" w:cstheme="minorHAnsi"/>
          <w:sz w:val="24"/>
          <w:szCs w:val="24"/>
        </w:rPr>
        <w:t>There are several underlying challenges to delivery</w:t>
      </w:r>
      <w:r w:rsidR="006856A6" w:rsidRPr="00C44B9C">
        <w:rPr>
          <w:rFonts w:eastAsia="Arial" w:cstheme="minorHAnsi"/>
          <w:sz w:val="24"/>
          <w:szCs w:val="24"/>
        </w:rPr>
        <w:t xml:space="preserve"> and currently CEC Justice Services </w:t>
      </w:r>
      <w:r w:rsidR="00407B15">
        <w:rPr>
          <w:rFonts w:eastAsia="Arial" w:cstheme="minorHAnsi"/>
          <w:sz w:val="24"/>
          <w:szCs w:val="24"/>
        </w:rPr>
        <w:t xml:space="preserve">with partners </w:t>
      </w:r>
      <w:r w:rsidR="006856A6" w:rsidRPr="00C44B9C">
        <w:rPr>
          <w:rFonts w:eastAsia="Arial" w:cstheme="minorHAnsi"/>
          <w:sz w:val="24"/>
          <w:szCs w:val="24"/>
        </w:rPr>
        <w:t>are undertaking a review of future provision</w:t>
      </w:r>
      <w:r w:rsidR="00407B15">
        <w:rPr>
          <w:rFonts w:eastAsia="Arial" w:cstheme="minorHAnsi"/>
          <w:sz w:val="24"/>
          <w:szCs w:val="24"/>
        </w:rPr>
        <w:t>.</w:t>
      </w:r>
    </w:p>
    <w:p w14:paraId="1AC41462" w14:textId="12AC02C4" w:rsidR="00877D15" w:rsidRPr="0022697E" w:rsidRDefault="0022697E" w:rsidP="0022697E">
      <w:pPr>
        <w:pStyle w:val="Heading2"/>
        <w:ind w:left="720" w:hanging="720"/>
        <w:rPr>
          <w:rFonts w:asciiTheme="minorHAnsi" w:eastAsia="Arial" w:hAnsiTheme="minorHAnsi" w:cstheme="minorHAnsi"/>
          <w:bCs/>
          <w:color w:val="auto"/>
          <w:sz w:val="24"/>
          <w:szCs w:val="24"/>
        </w:rPr>
      </w:pPr>
      <w:bookmarkStart w:id="42" w:name="_Toc174006765"/>
      <w:r w:rsidRPr="0022697E">
        <w:rPr>
          <w:rFonts w:asciiTheme="minorHAnsi" w:hAnsiTheme="minorHAnsi" w:cstheme="minorHAnsi"/>
          <w:color w:val="auto"/>
          <w:sz w:val="24"/>
          <w:szCs w:val="24"/>
        </w:rPr>
        <w:t>81.</w:t>
      </w:r>
      <w:r>
        <w:rPr>
          <w:rFonts w:asciiTheme="minorHAnsi" w:hAnsiTheme="minorHAnsi" w:cstheme="minorHAnsi"/>
          <w:b/>
          <w:bCs/>
          <w:color w:val="auto"/>
          <w:sz w:val="24"/>
          <w:szCs w:val="24"/>
        </w:rPr>
        <w:tab/>
      </w:r>
      <w:r w:rsidR="00877D15" w:rsidRPr="0022697E">
        <w:rPr>
          <w:rFonts w:asciiTheme="minorHAnsi" w:hAnsiTheme="minorHAnsi" w:cstheme="minorHAnsi"/>
          <w:b/>
          <w:bCs/>
          <w:color w:val="auto"/>
          <w:sz w:val="24"/>
          <w:szCs w:val="24"/>
        </w:rPr>
        <w:t>The Edinburgh and Midlothian Recovery</w:t>
      </w:r>
      <w:r w:rsidR="00F0171B" w:rsidRPr="0022697E">
        <w:rPr>
          <w:rFonts w:asciiTheme="minorHAnsi" w:hAnsiTheme="minorHAnsi" w:cstheme="minorHAnsi"/>
          <w:b/>
          <w:bCs/>
          <w:color w:val="auto"/>
          <w:sz w:val="24"/>
          <w:szCs w:val="24"/>
        </w:rPr>
        <w:t xml:space="preserve"> Support</w:t>
      </w:r>
      <w:r w:rsidR="00877D15" w:rsidRPr="0022697E">
        <w:rPr>
          <w:rFonts w:asciiTheme="minorHAnsi" w:hAnsiTheme="minorHAnsi" w:cstheme="minorHAnsi"/>
          <w:b/>
          <w:bCs/>
          <w:color w:val="auto"/>
          <w:sz w:val="24"/>
          <w:szCs w:val="24"/>
        </w:rPr>
        <w:t xml:space="preserve"> Service (EMORS)</w:t>
      </w:r>
      <w:r w:rsidRPr="0022697E">
        <w:rPr>
          <w:rFonts w:asciiTheme="minorHAnsi" w:hAnsiTheme="minorHAnsi" w:cstheme="minorHAnsi"/>
          <w:b/>
          <w:bCs/>
          <w:color w:val="auto"/>
          <w:sz w:val="24"/>
          <w:szCs w:val="24"/>
        </w:rPr>
        <w:t xml:space="preserve"> </w:t>
      </w:r>
      <w:r w:rsidRPr="0022697E">
        <w:rPr>
          <w:rFonts w:asciiTheme="minorHAnsi" w:hAnsiTheme="minorHAnsi" w:cstheme="minorHAnsi"/>
          <w:color w:val="auto"/>
          <w:sz w:val="24"/>
          <w:szCs w:val="24"/>
        </w:rPr>
        <w:t>is a 3</w:t>
      </w:r>
      <w:r w:rsidRPr="0022697E">
        <w:rPr>
          <w:rFonts w:asciiTheme="minorHAnsi" w:hAnsiTheme="minorHAnsi" w:cstheme="minorHAnsi"/>
          <w:color w:val="auto"/>
          <w:sz w:val="24"/>
          <w:szCs w:val="24"/>
          <w:vertAlign w:val="superscript"/>
        </w:rPr>
        <w:t>rd</w:t>
      </w:r>
      <w:r w:rsidRPr="0022697E">
        <w:rPr>
          <w:rFonts w:asciiTheme="minorHAnsi" w:hAnsiTheme="minorHAnsi" w:cstheme="minorHAnsi"/>
          <w:color w:val="auto"/>
          <w:sz w:val="24"/>
          <w:szCs w:val="24"/>
        </w:rPr>
        <w:t xml:space="preserve"> </w:t>
      </w:r>
      <w:r w:rsidR="00877D15" w:rsidRPr="0022697E">
        <w:rPr>
          <w:rFonts w:asciiTheme="minorHAnsi" w:eastAsia="Arial" w:hAnsiTheme="minorHAnsi" w:cstheme="minorHAnsi"/>
          <w:color w:val="auto"/>
          <w:sz w:val="24"/>
          <w:szCs w:val="24"/>
        </w:rPr>
        <w:t xml:space="preserve">sector (CGL) service commissioned through CEC, </w:t>
      </w:r>
      <w:r w:rsidRPr="0022697E">
        <w:rPr>
          <w:rFonts w:asciiTheme="minorHAnsi" w:eastAsia="Arial" w:hAnsiTheme="minorHAnsi" w:cstheme="minorHAnsi"/>
          <w:color w:val="auto"/>
          <w:sz w:val="24"/>
          <w:szCs w:val="24"/>
        </w:rPr>
        <w:t>who provide</w:t>
      </w:r>
      <w:r w:rsidR="00877D15" w:rsidRPr="0022697E">
        <w:rPr>
          <w:rFonts w:asciiTheme="minorHAnsi" w:eastAsia="Arial" w:hAnsiTheme="minorHAnsi" w:cstheme="minorHAnsi"/>
          <w:color w:val="auto"/>
          <w:sz w:val="24"/>
          <w:szCs w:val="24"/>
        </w:rPr>
        <w:t xml:space="preserve"> support to drug and alcohol users at all stages of the Justice system. </w:t>
      </w:r>
      <w:r>
        <w:rPr>
          <w:rFonts w:asciiTheme="minorHAnsi" w:eastAsia="Arial" w:hAnsiTheme="minorHAnsi" w:cstheme="minorHAnsi"/>
          <w:bCs/>
          <w:color w:val="auto"/>
          <w:sz w:val="24"/>
          <w:szCs w:val="24"/>
        </w:rPr>
        <w:t>Key features of the service are</w:t>
      </w:r>
      <w:bookmarkEnd w:id="42"/>
      <w:r w:rsidR="00BF4E15">
        <w:rPr>
          <w:rFonts w:asciiTheme="minorHAnsi" w:eastAsia="Arial" w:hAnsiTheme="minorHAnsi" w:cstheme="minorHAnsi"/>
          <w:bCs/>
          <w:color w:val="auto"/>
          <w:sz w:val="24"/>
          <w:szCs w:val="24"/>
        </w:rPr>
        <w:t>:</w:t>
      </w:r>
      <w:r w:rsidRPr="0022697E">
        <w:rPr>
          <w:rFonts w:asciiTheme="minorHAnsi" w:eastAsia="Arial" w:hAnsiTheme="minorHAnsi" w:cstheme="minorHAnsi"/>
          <w:bCs/>
          <w:color w:val="auto"/>
          <w:sz w:val="24"/>
          <w:szCs w:val="24"/>
        </w:rPr>
        <w:t xml:space="preserve"> </w:t>
      </w:r>
    </w:p>
    <w:p w14:paraId="39CB00A7" w14:textId="41D5532A" w:rsidR="00877D15" w:rsidRPr="0022697E" w:rsidRDefault="0022697E" w:rsidP="0022697E">
      <w:pPr>
        <w:pStyle w:val="ListParagraph"/>
        <w:numPr>
          <w:ilvl w:val="0"/>
          <w:numId w:val="27"/>
        </w:numPr>
        <w:rPr>
          <w:rFonts w:eastAsia="Arial" w:cstheme="minorHAnsi"/>
          <w:sz w:val="24"/>
          <w:szCs w:val="24"/>
        </w:rPr>
      </w:pPr>
      <w:r w:rsidRPr="0022697E">
        <w:rPr>
          <w:rFonts w:eastAsia="Arial" w:cstheme="minorHAnsi"/>
          <w:sz w:val="24"/>
          <w:szCs w:val="24"/>
        </w:rPr>
        <w:t xml:space="preserve">Providing </w:t>
      </w:r>
      <w:r w:rsidR="00877D15" w:rsidRPr="0022697E">
        <w:rPr>
          <w:rFonts w:eastAsia="Arial" w:cstheme="minorHAnsi"/>
          <w:sz w:val="24"/>
          <w:szCs w:val="24"/>
        </w:rPr>
        <w:t>continuity of care from arrest and custody to prison and back into the community</w:t>
      </w:r>
      <w:r w:rsidRPr="0022697E">
        <w:rPr>
          <w:rFonts w:eastAsia="Arial" w:cstheme="minorHAnsi"/>
          <w:sz w:val="24"/>
          <w:szCs w:val="24"/>
        </w:rPr>
        <w:t xml:space="preserve"> with </w:t>
      </w:r>
      <w:r w:rsidR="00877D15" w:rsidRPr="0022697E">
        <w:rPr>
          <w:rFonts w:eastAsia="Arial" w:cstheme="minorHAnsi"/>
          <w:sz w:val="24"/>
          <w:szCs w:val="24"/>
        </w:rPr>
        <w:t>continuity of caseworker where possible.</w:t>
      </w:r>
    </w:p>
    <w:p w14:paraId="3BE4C695" w14:textId="5C2A4650" w:rsidR="00877D15" w:rsidRPr="0022697E" w:rsidRDefault="0022697E" w:rsidP="0022697E">
      <w:pPr>
        <w:pStyle w:val="ListParagraph"/>
        <w:numPr>
          <w:ilvl w:val="0"/>
          <w:numId w:val="27"/>
        </w:numPr>
        <w:rPr>
          <w:rFonts w:eastAsia="Arial" w:cstheme="minorHAnsi"/>
          <w:sz w:val="24"/>
          <w:szCs w:val="24"/>
        </w:rPr>
      </w:pPr>
      <w:r w:rsidRPr="0022697E">
        <w:rPr>
          <w:rFonts w:eastAsia="Arial" w:cstheme="minorHAnsi"/>
          <w:sz w:val="24"/>
          <w:szCs w:val="24"/>
        </w:rPr>
        <w:t>T</w:t>
      </w:r>
      <w:r w:rsidR="00877D15" w:rsidRPr="0022697E">
        <w:rPr>
          <w:rFonts w:eastAsia="Arial" w:cstheme="minorHAnsi"/>
          <w:sz w:val="24"/>
          <w:szCs w:val="24"/>
        </w:rPr>
        <w:t>rauma informed</w:t>
      </w:r>
      <w:r w:rsidRPr="0022697E">
        <w:rPr>
          <w:rFonts w:eastAsia="Arial" w:cstheme="minorHAnsi"/>
          <w:sz w:val="24"/>
          <w:szCs w:val="24"/>
        </w:rPr>
        <w:t xml:space="preserve"> service </w:t>
      </w:r>
      <w:r w:rsidR="00877D15" w:rsidRPr="0022697E">
        <w:rPr>
          <w:rFonts w:eastAsia="Arial" w:cstheme="minorHAnsi"/>
          <w:sz w:val="24"/>
          <w:szCs w:val="24"/>
        </w:rPr>
        <w:t xml:space="preserve">adapting to the needs of service </w:t>
      </w:r>
      <w:r w:rsidR="00BF4E15" w:rsidRPr="0022697E">
        <w:rPr>
          <w:rFonts w:eastAsia="Arial" w:cstheme="minorHAnsi"/>
          <w:sz w:val="24"/>
          <w:szCs w:val="24"/>
        </w:rPr>
        <w:t>users and</w:t>
      </w:r>
      <w:r w:rsidR="00877D15" w:rsidRPr="0022697E">
        <w:rPr>
          <w:rFonts w:eastAsia="Arial" w:cstheme="minorHAnsi"/>
          <w:sz w:val="24"/>
          <w:szCs w:val="24"/>
        </w:rPr>
        <w:t xml:space="preserve"> reducing any barriers regarding access.</w:t>
      </w:r>
    </w:p>
    <w:p w14:paraId="52A319A5" w14:textId="46BF4B92" w:rsidR="00877D15" w:rsidRPr="0022697E" w:rsidRDefault="00877D15" w:rsidP="0022697E">
      <w:pPr>
        <w:pStyle w:val="ListParagraph"/>
        <w:numPr>
          <w:ilvl w:val="0"/>
          <w:numId w:val="27"/>
        </w:numPr>
        <w:rPr>
          <w:rFonts w:eastAsia="Arial" w:cstheme="minorHAnsi"/>
          <w:sz w:val="24"/>
          <w:szCs w:val="24"/>
        </w:rPr>
      </w:pPr>
      <w:r w:rsidRPr="0022697E">
        <w:rPr>
          <w:rFonts w:eastAsia="Arial" w:cstheme="minorHAnsi"/>
          <w:sz w:val="24"/>
          <w:szCs w:val="24"/>
        </w:rPr>
        <w:t>Work</w:t>
      </w:r>
      <w:r w:rsidR="0022697E" w:rsidRPr="0022697E">
        <w:rPr>
          <w:rFonts w:eastAsia="Arial" w:cstheme="minorHAnsi"/>
          <w:sz w:val="24"/>
          <w:szCs w:val="24"/>
        </w:rPr>
        <w:t>ing</w:t>
      </w:r>
      <w:r w:rsidRPr="0022697E">
        <w:rPr>
          <w:rFonts w:eastAsia="Arial" w:cstheme="minorHAnsi"/>
          <w:sz w:val="24"/>
          <w:szCs w:val="24"/>
        </w:rPr>
        <w:t xml:space="preserve"> collaboratively in close partnership with other statutory and voluntary service providers, to follow one shared multi-agency plan.</w:t>
      </w:r>
    </w:p>
    <w:p w14:paraId="561BAEC6" w14:textId="26D09810" w:rsidR="00877D15" w:rsidRPr="0022697E" w:rsidRDefault="00877D15" w:rsidP="0022697E">
      <w:pPr>
        <w:pStyle w:val="ListParagraph"/>
        <w:numPr>
          <w:ilvl w:val="0"/>
          <w:numId w:val="27"/>
        </w:numPr>
        <w:rPr>
          <w:rFonts w:eastAsia="Arial" w:cstheme="minorHAnsi"/>
          <w:sz w:val="24"/>
          <w:szCs w:val="24"/>
        </w:rPr>
      </w:pPr>
      <w:r w:rsidRPr="0022697E">
        <w:rPr>
          <w:rFonts w:eastAsia="Arial" w:cstheme="minorHAnsi"/>
          <w:sz w:val="24"/>
          <w:szCs w:val="24"/>
        </w:rPr>
        <w:t>Adopt</w:t>
      </w:r>
      <w:r w:rsidR="0022697E" w:rsidRPr="0022697E">
        <w:rPr>
          <w:rFonts w:eastAsia="Arial" w:cstheme="minorHAnsi"/>
          <w:sz w:val="24"/>
          <w:szCs w:val="24"/>
        </w:rPr>
        <w:t>ing</w:t>
      </w:r>
      <w:r w:rsidRPr="0022697E">
        <w:rPr>
          <w:rFonts w:eastAsia="Arial" w:cstheme="minorHAnsi"/>
          <w:sz w:val="24"/>
          <w:szCs w:val="24"/>
        </w:rPr>
        <w:t xml:space="preserve"> a harm reduction and recovery-orientated approach for those with problematic substance misuse</w:t>
      </w:r>
    </w:p>
    <w:p w14:paraId="7F0CC7FA" w14:textId="6124239A" w:rsidR="00877D15" w:rsidRPr="0022697E" w:rsidRDefault="00877D15" w:rsidP="0022697E">
      <w:pPr>
        <w:pStyle w:val="ListParagraph"/>
        <w:numPr>
          <w:ilvl w:val="0"/>
          <w:numId w:val="27"/>
        </w:numPr>
        <w:rPr>
          <w:rFonts w:eastAsia="Arial" w:cstheme="minorHAnsi"/>
          <w:sz w:val="24"/>
          <w:szCs w:val="24"/>
        </w:rPr>
      </w:pPr>
      <w:r w:rsidRPr="0022697E">
        <w:rPr>
          <w:rFonts w:eastAsia="Arial" w:cstheme="minorHAnsi"/>
          <w:sz w:val="24"/>
          <w:szCs w:val="24"/>
        </w:rPr>
        <w:t>Work</w:t>
      </w:r>
      <w:r w:rsidR="0022697E" w:rsidRPr="0022697E">
        <w:rPr>
          <w:rFonts w:eastAsia="Arial" w:cstheme="minorHAnsi"/>
          <w:sz w:val="24"/>
          <w:szCs w:val="24"/>
        </w:rPr>
        <w:t>ing</w:t>
      </w:r>
      <w:r w:rsidRPr="0022697E">
        <w:rPr>
          <w:rFonts w:eastAsia="Arial" w:cstheme="minorHAnsi"/>
          <w:sz w:val="24"/>
          <w:szCs w:val="24"/>
        </w:rPr>
        <w:t xml:space="preserve"> with individuals to build recovery capital</w:t>
      </w:r>
    </w:p>
    <w:p w14:paraId="2860D129" w14:textId="0A22A276" w:rsidR="00877D15" w:rsidRPr="0022697E" w:rsidRDefault="00877D15" w:rsidP="0022697E">
      <w:pPr>
        <w:pStyle w:val="ListParagraph"/>
        <w:numPr>
          <w:ilvl w:val="0"/>
          <w:numId w:val="27"/>
        </w:numPr>
        <w:rPr>
          <w:rFonts w:eastAsia="Arial" w:cstheme="minorHAnsi"/>
          <w:sz w:val="24"/>
          <w:szCs w:val="24"/>
        </w:rPr>
      </w:pPr>
      <w:r w:rsidRPr="0022697E">
        <w:rPr>
          <w:rFonts w:eastAsia="Arial" w:cstheme="minorHAnsi"/>
          <w:sz w:val="24"/>
          <w:szCs w:val="24"/>
        </w:rPr>
        <w:t>Provid</w:t>
      </w:r>
      <w:r w:rsidR="0022697E" w:rsidRPr="0022697E">
        <w:rPr>
          <w:rFonts w:eastAsia="Arial" w:cstheme="minorHAnsi"/>
          <w:sz w:val="24"/>
          <w:szCs w:val="24"/>
        </w:rPr>
        <w:t>ing</w:t>
      </w:r>
      <w:r w:rsidRPr="0022697E">
        <w:rPr>
          <w:rFonts w:eastAsia="Arial" w:cstheme="minorHAnsi"/>
          <w:sz w:val="24"/>
          <w:szCs w:val="24"/>
        </w:rPr>
        <w:t xml:space="preserve"> intensive support for those with a greater need</w:t>
      </w:r>
    </w:p>
    <w:p w14:paraId="5AD19F2E" w14:textId="0DBA96A6" w:rsidR="00877D15" w:rsidRDefault="0022697E" w:rsidP="0022697E">
      <w:pPr>
        <w:ind w:left="720" w:hanging="720"/>
        <w:rPr>
          <w:rFonts w:eastAsia="Arial" w:cstheme="minorHAnsi"/>
          <w:sz w:val="24"/>
          <w:szCs w:val="24"/>
        </w:rPr>
      </w:pPr>
      <w:r>
        <w:rPr>
          <w:rFonts w:eastAsia="Arial" w:cstheme="minorHAnsi"/>
          <w:sz w:val="24"/>
          <w:szCs w:val="24"/>
        </w:rPr>
        <w:t>82.</w:t>
      </w:r>
      <w:r>
        <w:rPr>
          <w:rFonts w:eastAsia="Arial" w:cstheme="minorHAnsi"/>
          <w:sz w:val="24"/>
          <w:szCs w:val="24"/>
        </w:rPr>
        <w:tab/>
      </w:r>
      <w:r w:rsidR="00877D15" w:rsidRPr="0022697E">
        <w:rPr>
          <w:rFonts w:eastAsia="Arial" w:cstheme="minorHAnsi"/>
          <w:b/>
          <w:bCs/>
          <w:sz w:val="24"/>
          <w:szCs w:val="24"/>
        </w:rPr>
        <w:t>Arrest referral</w:t>
      </w:r>
      <w:r w:rsidR="00877D15" w:rsidRPr="00C44B9C">
        <w:rPr>
          <w:rFonts w:eastAsia="Arial" w:cstheme="minorHAnsi"/>
          <w:sz w:val="24"/>
          <w:szCs w:val="24"/>
        </w:rPr>
        <w:t>: EMORS</w:t>
      </w:r>
      <w:r w:rsidR="00F0171B" w:rsidRPr="00C44B9C">
        <w:rPr>
          <w:rFonts w:eastAsia="Arial" w:cstheme="minorHAnsi"/>
          <w:sz w:val="24"/>
          <w:szCs w:val="24"/>
        </w:rPr>
        <w:t>S</w:t>
      </w:r>
      <w:r w:rsidR="00877D15" w:rsidRPr="00C44B9C">
        <w:rPr>
          <w:rFonts w:eastAsia="Arial" w:cstheme="minorHAnsi"/>
          <w:sz w:val="24"/>
          <w:szCs w:val="24"/>
        </w:rPr>
        <w:t xml:space="preserve"> have continued to provide arrest referral support via St Leonards </w:t>
      </w:r>
      <w:r>
        <w:rPr>
          <w:rFonts w:eastAsia="Arial" w:cstheme="minorHAnsi"/>
          <w:sz w:val="24"/>
          <w:szCs w:val="24"/>
        </w:rPr>
        <w:t>P</w:t>
      </w:r>
      <w:r w:rsidR="00877D15" w:rsidRPr="00C44B9C">
        <w:rPr>
          <w:rFonts w:eastAsia="Arial" w:cstheme="minorHAnsi"/>
          <w:sz w:val="24"/>
          <w:szCs w:val="24"/>
        </w:rPr>
        <w:t xml:space="preserve">olice </w:t>
      </w:r>
      <w:r>
        <w:rPr>
          <w:rFonts w:eastAsia="Arial" w:cstheme="minorHAnsi"/>
          <w:sz w:val="24"/>
          <w:szCs w:val="24"/>
        </w:rPr>
        <w:t>S</w:t>
      </w:r>
      <w:r w:rsidR="00877D15" w:rsidRPr="00C44B9C">
        <w:rPr>
          <w:rFonts w:eastAsia="Arial" w:cstheme="minorHAnsi"/>
          <w:sz w:val="24"/>
          <w:szCs w:val="24"/>
        </w:rPr>
        <w:t xml:space="preserve">tation and receive referrals from </w:t>
      </w:r>
      <w:r>
        <w:rPr>
          <w:rFonts w:eastAsia="Arial" w:cstheme="minorHAnsi"/>
          <w:sz w:val="24"/>
          <w:szCs w:val="24"/>
        </w:rPr>
        <w:t>p</w:t>
      </w:r>
      <w:r w:rsidR="00877D15" w:rsidRPr="00C44B9C">
        <w:rPr>
          <w:rFonts w:eastAsia="Arial" w:cstheme="minorHAnsi"/>
          <w:sz w:val="24"/>
          <w:szCs w:val="24"/>
        </w:rPr>
        <w:t>olice staff and nurses based in the custody suite and West Lothian Assertive Outreach Service (WLAO) who see individuals in Livingston custody suite</w:t>
      </w:r>
      <w:r>
        <w:rPr>
          <w:rFonts w:eastAsia="Arial" w:cstheme="minorHAnsi"/>
          <w:sz w:val="24"/>
          <w:szCs w:val="24"/>
        </w:rPr>
        <w:t xml:space="preserve">. </w:t>
      </w:r>
    </w:p>
    <w:p w14:paraId="7E5C91C3" w14:textId="2E6D30E3" w:rsidR="0022697E" w:rsidRPr="00C44B9C" w:rsidRDefault="0022697E" w:rsidP="0022697E">
      <w:pPr>
        <w:ind w:left="720"/>
        <w:rPr>
          <w:rFonts w:eastAsia="Arial" w:cstheme="minorHAnsi"/>
          <w:sz w:val="24"/>
          <w:szCs w:val="24"/>
        </w:rPr>
      </w:pPr>
      <w:r>
        <w:rPr>
          <w:rFonts w:eastAsia="Arial" w:cstheme="minorHAnsi"/>
          <w:sz w:val="24"/>
          <w:szCs w:val="24"/>
        </w:rPr>
        <w:t xml:space="preserve">Activity Summary </w:t>
      </w:r>
    </w:p>
    <w:tbl>
      <w:tblPr>
        <w:tblStyle w:val="TableGrid"/>
        <w:tblW w:w="8505" w:type="dxa"/>
        <w:tblInd w:w="704" w:type="dxa"/>
        <w:tblLook w:val="04A0" w:firstRow="1" w:lastRow="0" w:firstColumn="1" w:lastColumn="0" w:noHBand="0" w:noVBand="1"/>
      </w:tblPr>
      <w:tblGrid>
        <w:gridCol w:w="2649"/>
        <w:gridCol w:w="2454"/>
        <w:gridCol w:w="3402"/>
      </w:tblGrid>
      <w:tr w:rsidR="0022697E" w:rsidRPr="00C44B9C" w14:paraId="2FA57AB0" w14:textId="2AC4CE10" w:rsidTr="00A27F04">
        <w:trPr>
          <w:trHeight w:val="440"/>
        </w:trPr>
        <w:tc>
          <w:tcPr>
            <w:tcW w:w="2649" w:type="dxa"/>
            <w:tcBorders>
              <w:top w:val="single" w:sz="4" w:space="0" w:color="auto"/>
              <w:left w:val="single" w:sz="4" w:space="0" w:color="auto"/>
              <w:bottom w:val="single" w:sz="4" w:space="0" w:color="auto"/>
              <w:right w:val="single" w:sz="4" w:space="0" w:color="auto"/>
            </w:tcBorders>
          </w:tcPr>
          <w:p w14:paraId="36D47CAE" w14:textId="34F6FA04" w:rsidR="0022697E" w:rsidRPr="00A27F04" w:rsidRDefault="0022697E" w:rsidP="0022697E">
            <w:pPr>
              <w:spacing w:after="160" w:line="259" w:lineRule="auto"/>
              <w:rPr>
                <w:rFonts w:asciiTheme="minorHAnsi" w:eastAsia="Arial" w:hAnsiTheme="minorHAnsi" w:cstheme="minorHAnsi"/>
                <w:b/>
                <w:bCs/>
                <w:sz w:val="24"/>
                <w:szCs w:val="24"/>
              </w:rPr>
            </w:pPr>
            <w:r w:rsidRPr="00A27F04">
              <w:rPr>
                <w:rFonts w:asciiTheme="minorHAnsi" w:eastAsia="Arial" w:hAnsiTheme="minorHAnsi" w:cstheme="minorHAnsi"/>
                <w:b/>
                <w:bCs/>
                <w:sz w:val="24"/>
                <w:szCs w:val="24"/>
              </w:rPr>
              <w:t>Source of referral for outreach</w:t>
            </w:r>
          </w:p>
        </w:tc>
        <w:tc>
          <w:tcPr>
            <w:tcW w:w="2454" w:type="dxa"/>
            <w:tcBorders>
              <w:top w:val="single" w:sz="4" w:space="0" w:color="auto"/>
              <w:left w:val="single" w:sz="4" w:space="0" w:color="auto"/>
              <w:bottom w:val="single" w:sz="4" w:space="0" w:color="auto"/>
              <w:right w:val="single" w:sz="4" w:space="0" w:color="auto"/>
            </w:tcBorders>
          </w:tcPr>
          <w:p w14:paraId="10BFF84E" w14:textId="4222F78A" w:rsidR="0022697E" w:rsidRPr="00A27F04" w:rsidRDefault="0022697E" w:rsidP="0022697E">
            <w:pPr>
              <w:spacing w:after="160" w:line="259" w:lineRule="auto"/>
              <w:rPr>
                <w:rFonts w:asciiTheme="minorHAnsi" w:eastAsia="Arial" w:hAnsiTheme="minorHAnsi" w:cstheme="minorHAnsi"/>
                <w:b/>
                <w:bCs/>
                <w:sz w:val="24"/>
                <w:szCs w:val="24"/>
              </w:rPr>
            </w:pPr>
            <w:r w:rsidRPr="00A27F04">
              <w:rPr>
                <w:rFonts w:asciiTheme="minorHAnsi" w:eastAsia="Arial" w:hAnsiTheme="minorHAnsi" w:cstheme="minorHAnsi"/>
                <w:b/>
                <w:bCs/>
                <w:sz w:val="24"/>
                <w:szCs w:val="24"/>
              </w:rPr>
              <w:t xml:space="preserve">Outreach referrals </w:t>
            </w:r>
          </w:p>
        </w:tc>
        <w:tc>
          <w:tcPr>
            <w:tcW w:w="3402" w:type="dxa"/>
            <w:tcBorders>
              <w:top w:val="single" w:sz="4" w:space="0" w:color="auto"/>
              <w:left w:val="single" w:sz="4" w:space="0" w:color="auto"/>
              <w:bottom w:val="single" w:sz="4" w:space="0" w:color="auto"/>
              <w:right w:val="single" w:sz="4" w:space="0" w:color="auto"/>
            </w:tcBorders>
          </w:tcPr>
          <w:p w14:paraId="5B221893" w14:textId="2D5EE9FD" w:rsidR="0022697E" w:rsidRPr="00A27F04" w:rsidRDefault="0022697E" w:rsidP="0022697E">
            <w:pPr>
              <w:rPr>
                <w:rFonts w:eastAsia="Arial" w:cstheme="minorHAnsi"/>
                <w:b/>
                <w:bCs/>
                <w:sz w:val="24"/>
                <w:szCs w:val="24"/>
              </w:rPr>
            </w:pPr>
            <w:r w:rsidRPr="00A27F04">
              <w:rPr>
                <w:rFonts w:asciiTheme="minorHAnsi" w:eastAsia="Arial" w:hAnsiTheme="minorHAnsi" w:cstheme="minorHAnsi"/>
                <w:b/>
                <w:bCs/>
                <w:sz w:val="24"/>
                <w:szCs w:val="24"/>
              </w:rPr>
              <w:t>People transferred from Outreach to EMORSS for ongoing support</w:t>
            </w:r>
          </w:p>
        </w:tc>
      </w:tr>
      <w:tr w:rsidR="0022697E" w:rsidRPr="00C44B9C" w14:paraId="0242E8A4" w14:textId="4615944C" w:rsidTr="00A27F04">
        <w:trPr>
          <w:trHeight w:val="440"/>
        </w:trPr>
        <w:tc>
          <w:tcPr>
            <w:tcW w:w="2649" w:type="dxa"/>
            <w:tcBorders>
              <w:top w:val="single" w:sz="4" w:space="0" w:color="auto"/>
              <w:left w:val="single" w:sz="4" w:space="0" w:color="auto"/>
              <w:bottom w:val="single" w:sz="4" w:space="0" w:color="auto"/>
              <w:right w:val="single" w:sz="4" w:space="0" w:color="auto"/>
            </w:tcBorders>
          </w:tcPr>
          <w:p w14:paraId="442AC868" w14:textId="5908967E" w:rsidR="0022697E" w:rsidRPr="00C44B9C" w:rsidRDefault="0022697E" w:rsidP="00A27F04">
            <w:pPr>
              <w:rPr>
                <w:rFonts w:asciiTheme="minorHAnsi" w:eastAsia="Arial" w:hAnsiTheme="minorHAnsi" w:cstheme="minorHAnsi"/>
                <w:sz w:val="24"/>
                <w:szCs w:val="24"/>
              </w:rPr>
            </w:pPr>
            <w:r w:rsidRPr="00C44B9C">
              <w:rPr>
                <w:rFonts w:asciiTheme="minorHAnsi" w:eastAsia="Arial" w:hAnsiTheme="minorHAnsi" w:cstheme="minorHAnsi"/>
                <w:sz w:val="24"/>
                <w:szCs w:val="24"/>
              </w:rPr>
              <w:t>EMORS Assessments</w:t>
            </w:r>
          </w:p>
        </w:tc>
        <w:tc>
          <w:tcPr>
            <w:tcW w:w="2454" w:type="dxa"/>
            <w:tcBorders>
              <w:top w:val="single" w:sz="4" w:space="0" w:color="auto"/>
              <w:left w:val="single" w:sz="4" w:space="0" w:color="auto"/>
              <w:bottom w:val="single" w:sz="4" w:space="0" w:color="auto"/>
              <w:right w:val="single" w:sz="4" w:space="0" w:color="auto"/>
            </w:tcBorders>
          </w:tcPr>
          <w:p w14:paraId="38572568" w14:textId="5DC05A05" w:rsidR="0022697E" w:rsidRPr="00C44B9C" w:rsidRDefault="0022697E" w:rsidP="00A27F04">
            <w:pPr>
              <w:ind w:left="284"/>
              <w:jc w:val="center"/>
              <w:rPr>
                <w:rFonts w:asciiTheme="minorHAnsi" w:eastAsia="Arial" w:hAnsiTheme="minorHAnsi" w:cstheme="minorHAnsi"/>
                <w:sz w:val="24"/>
                <w:szCs w:val="24"/>
              </w:rPr>
            </w:pPr>
            <w:r w:rsidRPr="00C44B9C">
              <w:rPr>
                <w:rFonts w:asciiTheme="minorHAnsi" w:eastAsia="Arial" w:hAnsiTheme="minorHAnsi" w:cstheme="minorHAnsi"/>
                <w:sz w:val="24"/>
                <w:szCs w:val="24"/>
              </w:rPr>
              <w:t>138</w:t>
            </w:r>
          </w:p>
        </w:tc>
        <w:tc>
          <w:tcPr>
            <w:tcW w:w="3402" w:type="dxa"/>
            <w:tcBorders>
              <w:top w:val="single" w:sz="4" w:space="0" w:color="auto"/>
              <w:left w:val="single" w:sz="4" w:space="0" w:color="auto"/>
              <w:bottom w:val="single" w:sz="4" w:space="0" w:color="auto"/>
              <w:right w:val="single" w:sz="4" w:space="0" w:color="auto"/>
            </w:tcBorders>
          </w:tcPr>
          <w:p w14:paraId="44E6F9BB" w14:textId="2A81DEDD" w:rsidR="0022697E" w:rsidRPr="00C44B9C" w:rsidRDefault="0022697E" w:rsidP="00A27F04">
            <w:pPr>
              <w:ind w:left="284"/>
              <w:jc w:val="center"/>
              <w:rPr>
                <w:rFonts w:eastAsia="Arial" w:cstheme="minorHAnsi"/>
                <w:sz w:val="24"/>
                <w:szCs w:val="24"/>
              </w:rPr>
            </w:pPr>
            <w:r>
              <w:rPr>
                <w:rFonts w:eastAsia="Arial" w:cstheme="minorHAnsi"/>
                <w:sz w:val="24"/>
                <w:szCs w:val="24"/>
              </w:rPr>
              <w:t>10</w:t>
            </w:r>
          </w:p>
        </w:tc>
      </w:tr>
      <w:tr w:rsidR="0022697E" w:rsidRPr="00C44B9C" w14:paraId="281A73C6" w14:textId="6C0757C4" w:rsidTr="00A27F04">
        <w:trPr>
          <w:trHeight w:val="440"/>
        </w:trPr>
        <w:tc>
          <w:tcPr>
            <w:tcW w:w="2649" w:type="dxa"/>
            <w:tcBorders>
              <w:top w:val="single" w:sz="4" w:space="0" w:color="auto"/>
              <w:left w:val="single" w:sz="4" w:space="0" w:color="auto"/>
              <w:bottom w:val="single" w:sz="4" w:space="0" w:color="auto"/>
              <w:right w:val="single" w:sz="4" w:space="0" w:color="auto"/>
            </w:tcBorders>
            <w:hideMark/>
          </w:tcPr>
          <w:p w14:paraId="7A608E2C" w14:textId="77777777" w:rsidR="0022697E" w:rsidRPr="00C44B9C" w:rsidRDefault="0022697E" w:rsidP="00A27F04">
            <w:pPr>
              <w:spacing w:after="160" w:line="259" w:lineRule="auto"/>
              <w:rPr>
                <w:rFonts w:asciiTheme="minorHAnsi" w:eastAsia="Arial" w:hAnsiTheme="minorHAnsi" w:cstheme="minorHAnsi"/>
                <w:sz w:val="24"/>
                <w:szCs w:val="24"/>
              </w:rPr>
            </w:pPr>
            <w:r w:rsidRPr="00C44B9C">
              <w:rPr>
                <w:rFonts w:asciiTheme="minorHAnsi" w:eastAsia="Arial" w:hAnsiTheme="minorHAnsi" w:cstheme="minorHAnsi"/>
                <w:sz w:val="24"/>
                <w:szCs w:val="24"/>
              </w:rPr>
              <w:t>Police</w:t>
            </w:r>
          </w:p>
        </w:tc>
        <w:tc>
          <w:tcPr>
            <w:tcW w:w="2454" w:type="dxa"/>
            <w:tcBorders>
              <w:top w:val="single" w:sz="4" w:space="0" w:color="auto"/>
              <w:left w:val="single" w:sz="4" w:space="0" w:color="auto"/>
              <w:bottom w:val="single" w:sz="4" w:space="0" w:color="auto"/>
              <w:right w:val="single" w:sz="4" w:space="0" w:color="auto"/>
            </w:tcBorders>
            <w:hideMark/>
          </w:tcPr>
          <w:p w14:paraId="653B1ED3" w14:textId="374A64E8" w:rsidR="0022697E" w:rsidRPr="00C44B9C" w:rsidRDefault="0022697E" w:rsidP="00A27F04">
            <w:pPr>
              <w:spacing w:after="160" w:line="259" w:lineRule="auto"/>
              <w:ind w:left="284"/>
              <w:jc w:val="center"/>
              <w:rPr>
                <w:rFonts w:asciiTheme="minorHAnsi" w:eastAsia="Arial" w:hAnsiTheme="minorHAnsi" w:cstheme="minorHAnsi"/>
                <w:sz w:val="24"/>
                <w:szCs w:val="24"/>
              </w:rPr>
            </w:pPr>
            <w:r w:rsidRPr="00C44B9C">
              <w:rPr>
                <w:rFonts w:asciiTheme="minorHAnsi" w:eastAsia="Arial" w:hAnsiTheme="minorHAnsi" w:cstheme="minorHAnsi"/>
                <w:sz w:val="24"/>
                <w:szCs w:val="24"/>
              </w:rPr>
              <w:t>12</w:t>
            </w:r>
          </w:p>
        </w:tc>
        <w:tc>
          <w:tcPr>
            <w:tcW w:w="3402" w:type="dxa"/>
            <w:tcBorders>
              <w:top w:val="single" w:sz="4" w:space="0" w:color="auto"/>
              <w:left w:val="single" w:sz="4" w:space="0" w:color="auto"/>
              <w:bottom w:val="single" w:sz="4" w:space="0" w:color="auto"/>
              <w:right w:val="single" w:sz="4" w:space="0" w:color="auto"/>
            </w:tcBorders>
          </w:tcPr>
          <w:p w14:paraId="70BEFC6D" w14:textId="534F992E" w:rsidR="0022697E" w:rsidRPr="00C44B9C" w:rsidRDefault="0022697E" w:rsidP="00A27F04">
            <w:pPr>
              <w:ind w:left="284"/>
              <w:jc w:val="center"/>
              <w:rPr>
                <w:rFonts w:eastAsia="Arial" w:cstheme="minorHAnsi"/>
                <w:sz w:val="24"/>
                <w:szCs w:val="24"/>
              </w:rPr>
            </w:pPr>
            <w:r>
              <w:rPr>
                <w:rFonts w:eastAsia="Arial" w:cstheme="minorHAnsi"/>
                <w:sz w:val="24"/>
                <w:szCs w:val="24"/>
              </w:rPr>
              <w:t>8</w:t>
            </w:r>
          </w:p>
        </w:tc>
      </w:tr>
      <w:tr w:rsidR="0022697E" w:rsidRPr="00C44B9C" w14:paraId="2B067DA6" w14:textId="69E6D61C" w:rsidTr="00A27F04">
        <w:trPr>
          <w:trHeight w:val="430"/>
        </w:trPr>
        <w:tc>
          <w:tcPr>
            <w:tcW w:w="2649" w:type="dxa"/>
            <w:tcBorders>
              <w:top w:val="single" w:sz="4" w:space="0" w:color="auto"/>
              <w:left w:val="single" w:sz="4" w:space="0" w:color="auto"/>
              <w:bottom w:val="single" w:sz="4" w:space="0" w:color="auto"/>
              <w:right w:val="single" w:sz="4" w:space="0" w:color="auto"/>
            </w:tcBorders>
            <w:hideMark/>
          </w:tcPr>
          <w:p w14:paraId="19D834B8" w14:textId="77777777" w:rsidR="0022697E" w:rsidRPr="00C44B9C" w:rsidRDefault="0022697E" w:rsidP="00A27F04">
            <w:pPr>
              <w:spacing w:after="160" w:line="259" w:lineRule="auto"/>
              <w:rPr>
                <w:rFonts w:asciiTheme="minorHAnsi" w:eastAsia="Arial" w:hAnsiTheme="minorHAnsi" w:cstheme="minorHAnsi"/>
                <w:sz w:val="24"/>
                <w:szCs w:val="24"/>
              </w:rPr>
            </w:pPr>
            <w:r w:rsidRPr="00C44B9C">
              <w:rPr>
                <w:rFonts w:asciiTheme="minorHAnsi" w:eastAsia="Arial" w:hAnsiTheme="minorHAnsi" w:cstheme="minorHAnsi"/>
                <w:sz w:val="24"/>
                <w:szCs w:val="24"/>
              </w:rPr>
              <w:t>Nurses</w:t>
            </w:r>
          </w:p>
        </w:tc>
        <w:tc>
          <w:tcPr>
            <w:tcW w:w="2454" w:type="dxa"/>
            <w:tcBorders>
              <w:top w:val="single" w:sz="4" w:space="0" w:color="auto"/>
              <w:left w:val="single" w:sz="4" w:space="0" w:color="auto"/>
              <w:bottom w:val="single" w:sz="4" w:space="0" w:color="auto"/>
              <w:right w:val="single" w:sz="4" w:space="0" w:color="auto"/>
            </w:tcBorders>
            <w:hideMark/>
          </w:tcPr>
          <w:p w14:paraId="166B3CC1" w14:textId="3C0DF21F" w:rsidR="0022697E" w:rsidRPr="00C44B9C" w:rsidRDefault="0022697E" w:rsidP="00A27F04">
            <w:pPr>
              <w:spacing w:after="160" w:line="259" w:lineRule="auto"/>
              <w:ind w:left="284"/>
              <w:jc w:val="center"/>
              <w:rPr>
                <w:rFonts w:asciiTheme="minorHAnsi" w:eastAsia="Arial" w:hAnsiTheme="minorHAnsi" w:cstheme="minorHAnsi"/>
                <w:sz w:val="24"/>
                <w:szCs w:val="24"/>
              </w:rPr>
            </w:pPr>
            <w:r w:rsidRPr="00C44B9C">
              <w:rPr>
                <w:rFonts w:asciiTheme="minorHAnsi" w:eastAsia="Arial" w:hAnsiTheme="minorHAnsi" w:cstheme="minorHAnsi"/>
                <w:sz w:val="24"/>
                <w:szCs w:val="24"/>
              </w:rPr>
              <w:t>17</w:t>
            </w:r>
          </w:p>
        </w:tc>
        <w:tc>
          <w:tcPr>
            <w:tcW w:w="3402" w:type="dxa"/>
            <w:tcBorders>
              <w:top w:val="single" w:sz="4" w:space="0" w:color="auto"/>
              <w:left w:val="single" w:sz="4" w:space="0" w:color="auto"/>
              <w:bottom w:val="single" w:sz="4" w:space="0" w:color="auto"/>
              <w:right w:val="single" w:sz="4" w:space="0" w:color="auto"/>
            </w:tcBorders>
          </w:tcPr>
          <w:p w14:paraId="57B0DB65" w14:textId="2FB44BD5" w:rsidR="0022697E" w:rsidRPr="00C44B9C" w:rsidRDefault="0022697E" w:rsidP="00A27F04">
            <w:pPr>
              <w:ind w:left="284"/>
              <w:jc w:val="center"/>
              <w:rPr>
                <w:rFonts w:eastAsia="Arial" w:cstheme="minorHAnsi"/>
                <w:sz w:val="24"/>
                <w:szCs w:val="24"/>
              </w:rPr>
            </w:pPr>
            <w:r>
              <w:rPr>
                <w:rFonts w:eastAsia="Arial" w:cstheme="minorHAnsi"/>
                <w:sz w:val="24"/>
                <w:szCs w:val="24"/>
              </w:rPr>
              <w:t>4</w:t>
            </w:r>
          </w:p>
        </w:tc>
      </w:tr>
      <w:tr w:rsidR="0022697E" w:rsidRPr="00C44B9C" w14:paraId="0DA7CE6B" w14:textId="36DD88C2" w:rsidTr="00A27F04">
        <w:trPr>
          <w:trHeight w:val="287"/>
        </w:trPr>
        <w:tc>
          <w:tcPr>
            <w:tcW w:w="2649" w:type="dxa"/>
            <w:tcBorders>
              <w:top w:val="single" w:sz="4" w:space="0" w:color="auto"/>
              <w:left w:val="single" w:sz="4" w:space="0" w:color="auto"/>
              <w:bottom w:val="single" w:sz="4" w:space="0" w:color="auto"/>
              <w:right w:val="single" w:sz="4" w:space="0" w:color="auto"/>
            </w:tcBorders>
            <w:hideMark/>
          </w:tcPr>
          <w:p w14:paraId="330F125C" w14:textId="77777777" w:rsidR="0022697E" w:rsidRPr="00C44B9C" w:rsidRDefault="0022697E" w:rsidP="00A27F04">
            <w:pPr>
              <w:spacing w:after="160" w:line="259" w:lineRule="auto"/>
              <w:rPr>
                <w:rFonts w:asciiTheme="minorHAnsi" w:eastAsia="Arial" w:hAnsiTheme="minorHAnsi" w:cstheme="minorHAnsi"/>
                <w:sz w:val="24"/>
                <w:szCs w:val="24"/>
              </w:rPr>
            </w:pPr>
            <w:r w:rsidRPr="00C44B9C">
              <w:rPr>
                <w:rFonts w:asciiTheme="minorHAnsi" w:eastAsia="Arial" w:hAnsiTheme="minorHAnsi" w:cstheme="minorHAnsi"/>
                <w:sz w:val="24"/>
                <w:szCs w:val="24"/>
              </w:rPr>
              <w:t>WLAO</w:t>
            </w:r>
          </w:p>
        </w:tc>
        <w:tc>
          <w:tcPr>
            <w:tcW w:w="2454" w:type="dxa"/>
            <w:tcBorders>
              <w:top w:val="single" w:sz="4" w:space="0" w:color="auto"/>
              <w:left w:val="single" w:sz="4" w:space="0" w:color="auto"/>
              <w:bottom w:val="single" w:sz="4" w:space="0" w:color="auto"/>
              <w:right w:val="single" w:sz="4" w:space="0" w:color="auto"/>
            </w:tcBorders>
            <w:hideMark/>
          </w:tcPr>
          <w:p w14:paraId="64403115" w14:textId="7E0E60EE" w:rsidR="0022697E" w:rsidRPr="00C44B9C" w:rsidRDefault="0022697E" w:rsidP="00A27F04">
            <w:pPr>
              <w:spacing w:after="160" w:line="259" w:lineRule="auto"/>
              <w:ind w:left="284"/>
              <w:jc w:val="center"/>
              <w:rPr>
                <w:rFonts w:asciiTheme="minorHAnsi" w:eastAsia="Arial" w:hAnsiTheme="minorHAnsi" w:cstheme="minorHAnsi"/>
                <w:sz w:val="24"/>
                <w:szCs w:val="24"/>
              </w:rPr>
            </w:pPr>
            <w:r w:rsidRPr="00C44B9C">
              <w:rPr>
                <w:rFonts w:asciiTheme="minorHAnsi" w:eastAsia="Arial" w:hAnsiTheme="minorHAnsi" w:cstheme="minorHAnsi"/>
                <w:sz w:val="24"/>
                <w:szCs w:val="24"/>
              </w:rPr>
              <w:t>23</w:t>
            </w:r>
          </w:p>
        </w:tc>
        <w:tc>
          <w:tcPr>
            <w:tcW w:w="3402" w:type="dxa"/>
            <w:tcBorders>
              <w:top w:val="single" w:sz="4" w:space="0" w:color="auto"/>
              <w:left w:val="single" w:sz="4" w:space="0" w:color="auto"/>
              <w:bottom w:val="single" w:sz="4" w:space="0" w:color="auto"/>
              <w:right w:val="single" w:sz="4" w:space="0" w:color="auto"/>
            </w:tcBorders>
          </w:tcPr>
          <w:p w14:paraId="6BD456DC" w14:textId="32CE0737" w:rsidR="0022697E" w:rsidRPr="00C44B9C" w:rsidRDefault="0022697E" w:rsidP="00A27F04">
            <w:pPr>
              <w:ind w:left="284"/>
              <w:jc w:val="center"/>
              <w:rPr>
                <w:rFonts w:eastAsia="Arial" w:cstheme="minorHAnsi"/>
                <w:sz w:val="24"/>
                <w:szCs w:val="24"/>
              </w:rPr>
            </w:pPr>
            <w:r>
              <w:rPr>
                <w:rFonts w:eastAsia="Arial" w:cstheme="minorHAnsi"/>
                <w:sz w:val="24"/>
                <w:szCs w:val="24"/>
              </w:rPr>
              <w:t>7</w:t>
            </w:r>
          </w:p>
        </w:tc>
      </w:tr>
      <w:tr w:rsidR="0022697E" w:rsidRPr="00C44B9C" w14:paraId="2EDA1F4B" w14:textId="4C1534B3" w:rsidTr="00A27F04">
        <w:trPr>
          <w:trHeight w:val="440"/>
        </w:trPr>
        <w:tc>
          <w:tcPr>
            <w:tcW w:w="2649" w:type="dxa"/>
            <w:tcBorders>
              <w:top w:val="single" w:sz="4" w:space="0" w:color="auto"/>
              <w:left w:val="single" w:sz="4" w:space="0" w:color="auto"/>
              <w:bottom w:val="single" w:sz="4" w:space="0" w:color="auto"/>
              <w:right w:val="single" w:sz="4" w:space="0" w:color="auto"/>
            </w:tcBorders>
            <w:hideMark/>
          </w:tcPr>
          <w:p w14:paraId="79A6A5E6" w14:textId="77777777" w:rsidR="0022697E" w:rsidRPr="00C44B9C" w:rsidRDefault="0022697E" w:rsidP="00A27F04">
            <w:pPr>
              <w:spacing w:after="160" w:line="259" w:lineRule="auto"/>
              <w:rPr>
                <w:rFonts w:asciiTheme="minorHAnsi" w:eastAsia="Arial" w:hAnsiTheme="minorHAnsi" w:cstheme="minorHAnsi"/>
                <w:b/>
                <w:bCs/>
                <w:sz w:val="24"/>
                <w:szCs w:val="24"/>
              </w:rPr>
            </w:pPr>
            <w:r w:rsidRPr="00C44B9C">
              <w:rPr>
                <w:rFonts w:asciiTheme="minorHAnsi" w:eastAsia="Arial" w:hAnsiTheme="minorHAnsi" w:cstheme="minorHAnsi"/>
                <w:b/>
                <w:bCs/>
                <w:sz w:val="24"/>
                <w:szCs w:val="24"/>
              </w:rPr>
              <w:t>Total</w:t>
            </w:r>
          </w:p>
        </w:tc>
        <w:tc>
          <w:tcPr>
            <w:tcW w:w="2454" w:type="dxa"/>
            <w:tcBorders>
              <w:top w:val="single" w:sz="4" w:space="0" w:color="auto"/>
              <w:left w:val="single" w:sz="4" w:space="0" w:color="auto"/>
              <w:bottom w:val="single" w:sz="4" w:space="0" w:color="auto"/>
              <w:right w:val="single" w:sz="4" w:space="0" w:color="auto"/>
            </w:tcBorders>
            <w:hideMark/>
          </w:tcPr>
          <w:p w14:paraId="09377041" w14:textId="08A98A38" w:rsidR="0022697E" w:rsidRPr="00C44B9C" w:rsidRDefault="0022697E" w:rsidP="00A27F04">
            <w:pPr>
              <w:spacing w:after="160" w:line="259" w:lineRule="auto"/>
              <w:ind w:left="284"/>
              <w:jc w:val="center"/>
              <w:rPr>
                <w:rFonts w:asciiTheme="minorHAnsi" w:eastAsia="Arial" w:hAnsiTheme="minorHAnsi" w:cstheme="minorHAnsi"/>
                <w:b/>
                <w:bCs/>
                <w:sz w:val="24"/>
                <w:szCs w:val="24"/>
              </w:rPr>
            </w:pPr>
            <w:r w:rsidRPr="00C44B9C">
              <w:rPr>
                <w:rFonts w:asciiTheme="minorHAnsi" w:eastAsia="Arial" w:hAnsiTheme="minorHAnsi" w:cstheme="minorHAnsi"/>
                <w:b/>
                <w:bCs/>
                <w:sz w:val="24"/>
                <w:szCs w:val="24"/>
              </w:rPr>
              <w:t>190</w:t>
            </w:r>
          </w:p>
        </w:tc>
        <w:tc>
          <w:tcPr>
            <w:tcW w:w="3402" w:type="dxa"/>
            <w:tcBorders>
              <w:top w:val="single" w:sz="4" w:space="0" w:color="auto"/>
              <w:left w:val="single" w:sz="4" w:space="0" w:color="auto"/>
              <w:bottom w:val="single" w:sz="4" w:space="0" w:color="auto"/>
              <w:right w:val="single" w:sz="4" w:space="0" w:color="auto"/>
            </w:tcBorders>
          </w:tcPr>
          <w:p w14:paraId="64939DC1" w14:textId="4B7BC078" w:rsidR="0022697E" w:rsidRPr="00C44B9C" w:rsidRDefault="0022697E" w:rsidP="00A27F04">
            <w:pPr>
              <w:ind w:left="284"/>
              <w:jc w:val="center"/>
              <w:rPr>
                <w:rFonts w:eastAsia="Arial" w:cstheme="minorHAnsi"/>
                <w:b/>
                <w:bCs/>
                <w:sz w:val="24"/>
                <w:szCs w:val="24"/>
              </w:rPr>
            </w:pPr>
            <w:r>
              <w:rPr>
                <w:rFonts w:eastAsia="Arial" w:cstheme="minorHAnsi"/>
                <w:b/>
                <w:bCs/>
                <w:sz w:val="24"/>
                <w:szCs w:val="24"/>
              </w:rPr>
              <w:t>27</w:t>
            </w:r>
          </w:p>
        </w:tc>
      </w:tr>
    </w:tbl>
    <w:p w14:paraId="00EF4423" w14:textId="77777777" w:rsidR="00877D15" w:rsidRPr="00C44B9C" w:rsidRDefault="00877D15" w:rsidP="00877D15">
      <w:pPr>
        <w:ind w:left="644"/>
        <w:rPr>
          <w:rFonts w:eastAsia="Arial" w:cstheme="minorHAnsi"/>
          <w:sz w:val="24"/>
          <w:szCs w:val="24"/>
        </w:rPr>
      </w:pPr>
    </w:p>
    <w:p w14:paraId="7615958E" w14:textId="7117F1A6" w:rsidR="00877D15" w:rsidRPr="00C44B9C" w:rsidRDefault="00A27F04" w:rsidP="00A27F04">
      <w:pPr>
        <w:ind w:left="644" w:hanging="644"/>
        <w:rPr>
          <w:rFonts w:eastAsia="Arial" w:cstheme="minorHAnsi"/>
          <w:sz w:val="24"/>
          <w:szCs w:val="24"/>
        </w:rPr>
      </w:pPr>
      <w:r>
        <w:rPr>
          <w:rFonts w:eastAsia="Arial" w:cstheme="minorHAnsi"/>
          <w:sz w:val="24"/>
          <w:szCs w:val="24"/>
        </w:rPr>
        <w:t>83.</w:t>
      </w:r>
      <w:r>
        <w:rPr>
          <w:rFonts w:eastAsia="Arial" w:cstheme="minorHAnsi"/>
          <w:sz w:val="24"/>
          <w:szCs w:val="24"/>
        </w:rPr>
        <w:tab/>
      </w:r>
      <w:r w:rsidR="00877D15" w:rsidRPr="00C44B9C">
        <w:rPr>
          <w:rFonts w:eastAsia="Arial" w:cstheme="minorHAnsi"/>
          <w:sz w:val="24"/>
          <w:szCs w:val="24"/>
        </w:rPr>
        <w:t xml:space="preserve">Prisoners from Edinburgh and Midlothian who initially access substance misuse support whilst in prison move seamlessly to help prepare for their release and receive throughcare support, remaining with the same worker where possible. In the last </w:t>
      </w:r>
      <w:r w:rsidR="00877D15" w:rsidRPr="00C44B9C">
        <w:rPr>
          <w:rFonts w:eastAsia="Arial" w:cstheme="minorHAnsi"/>
          <w:sz w:val="24"/>
          <w:szCs w:val="24"/>
        </w:rPr>
        <w:lastRenderedPageBreak/>
        <w:t xml:space="preserve">year </w:t>
      </w:r>
      <w:r>
        <w:rPr>
          <w:rFonts w:eastAsia="Arial" w:cstheme="minorHAnsi"/>
          <w:sz w:val="24"/>
          <w:szCs w:val="24"/>
        </w:rPr>
        <w:t xml:space="preserve">EMORSS </w:t>
      </w:r>
      <w:r w:rsidR="00877D15" w:rsidRPr="00C44B9C">
        <w:rPr>
          <w:rFonts w:eastAsia="Arial" w:cstheme="minorHAnsi"/>
          <w:sz w:val="24"/>
          <w:szCs w:val="24"/>
        </w:rPr>
        <w:t>actively supported 231 individuals from Edinburgh and Midlothian who had been seen in prison and then supported following their release from prison.</w:t>
      </w:r>
    </w:p>
    <w:p w14:paraId="3517542F" w14:textId="0E638821" w:rsidR="00877D15" w:rsidRPr="00C44B9C" w:rsidRDefault="00A27F04" w:rsidP="00A27F04">
      <w:pPr>
        <w:ind w:left="644" w:hanging="644"/>
        <w:rPr>
          <w:rFonts w:eastAsia="Arial" w:cstheme="minorHAnsi"/>
          <w:sz w:val="24"/>
          <w:szCs w:val="24"/>
        </w:rPr>
      </w:pPr>
      <w:r>
        <w:rPr>
          <w:rFonts w:eastAsia="Arial" w:cstheme="minorHAnsi"/>
          <w:sz w:val="24"/>
          <w:szCs w:val="24"/>
        </w:rPr>
        <w:t>84.</w:t>
      </w:r>
      <w:r>
        <w:rPr>
          <w:rFonts w:eastAsia="Arial" w:cstheme="minorHAnsi"/>
          <w:sz w:val="24"/>
          <w:szCs w:val="24"/>
        </w:rPr>
        <w:tab/>
      </w:r>
      <w:r w:rsidR="00952F73" w:rsidRPr="00C44B9C">
        <w:rPr>
          <w:rFonts w:eastAsia="Arial" w:cstheme="minorHAnsi"/>
          <w:sz w:val="24"/>
          <w:szCs w:val="24"/>
        </w:rPr>
        <w:t xml:space="preserve">EMROSS </w:t>
      </w:r>
      <w:r w:rsidR="00877D15" w:rsidRPr="00C44B9C">
        <w:rPr>
          <w:rFonts w:eastAsia="Arial" w:cstheme="minorHAnsi"/>
          <w:sz w:val="24"/>
          <w:szCs w:val="24"/>
        </w:rPr>
        <w:t>have continued to support r throughcare service users who require further substance misuse support on release. This has been done by liaising with community partners allowing an eventual handover to community support and access to clinical treatment and removing the need for the service user having to go through a full assessment process again. This pathway also allows those service users who were receiving support from a community hub to receive support from the EMORSS prison team if they are arrested and remanded to HMP Edinburgh.</w:t>
      </w:r>
    </w:p>
    <w:p w14:paraId="30003843" w14:textId="5C29EF7F" w:rsidR="005F05C3" w:rsidRDefault="00A27F04" w:rsidP="00A27F04">
      <w:pPr>
        <w:pStyle w:val="Heading2"/>
        <w:spacing w:line="240" w:lineRule="auto"/>
        <w:ind w:left="644" w:hanging="644"/>
        <w:rPr>
          <w:rFonts w:asciiTheme="minorHAnsi" w:hAnsiTheme="minorHAnsi" w:cstheme="minorHAnsi"/>
          <w:color w:val="000000" w:themeColor="text1"/>
          <w:sz w:val="24"/>
          <w:szCs w:val="24"/>
        </w:rPr>
      </w:pPr>
      <w:bookmarkStart w:id="43" w:name="_Toc174006766"/>
      <w:r w:rsidRPr="00A27F04">
        <w:rPr>
          <w:rFonts w:asciiTheme="minorHAnsi" w:hAnsiTheme="minorHAnsi" w:cstheme="minorHAnsi"/>
          <w:color w:val="auto"/>
          <w:sz w:val="24"/>
          <w:szCs w:val="24"/>
        </w:rPr>
        <w:t>85.</w:t>
      </w:r>
      <w:r>
        <w:rPr>
          <w:rFonts w:asciiTheme="minorHAnsi" w:hAnsiTheme="minorHAnsi" w:cstheme="minorHAnsi"/>
          <w:sz w:val="24"/>
          <w:szCs w:val="24"/>
        </w:rPr>
        <w:tab/>
      </w:r>
      <w:r w:rsidR="005F05C3" w:rsidRPr="00A27F04">
        <w:rPr>
          <w:rFonts w:asciiTheme="minorHAnsi" w:hAnsiTheme="minorHAnsi" w:cstheme="minorHAnsi"/>
          <w:b/>
          <w:bCs/>
          <w:color w:val="000000" w:themeColor="text1"/>
          <w:sz w:val="24"/>
          <w:szCs w:val="24"/>
        </w:rPr>
        <w:t>The Police Custody Healthcare and Forensic Examination Team</w:t>
      </w:r>
      <w:r w:rsidR="005F05C3" w:rsidRPr="00C44B9C">
        <w:rPr>
          <w:rFonts w:asciiTheme="minorHAnsi" w:hAnsiTheme="minorHAnsi" w:cstheme="minorHAnsi"/>
          <w:color w:val="000000" w:themeColor="text1"/>
          <w:sz w:val="24"/>
          <w:szCs w:val="24"/>
        </w:rPr>
        <w:t xml:space="preserve"> are hosted by NHS Lothian and cover the </w:t>
      </w:r>
      <w:proofErr w:type="gramStart"/>
      <w:r w:rsidR="4FF4E679" w:rsidRPr="00C44B9C">
        <w:rPr>
          <w:rFonts w:asciiTheme="minorHAnsi" w:hAnsiTheme="minorHAnsi" w:cstheme="minorHAnsi"/>
          <w:color w:val="000000" w:themeColor="text1"/>
          <w:sz w:val="24"/>
          <w:szCs w:val="24"/>
        </w:rPr>
        <w:t>S</w:t>
      </w:r>
      <w:r w:rsidR="005F05C3" w:rsidRPr="00C44B9C">
        <w:rPr>
          <w:rFonts w:asciiTheme="minorHAnsi" w:hAnsiTheme="minorHAnsi" w:cstheme="minorHAnsi"/>
          <w:color w:val="000000" w:themeColor="text1"/>
          <w:sz w:val="24"/>
          <w:szCs w:val="24"/>
        </w:rPr>
        <w:t xml:space="preserve">outh </w:t>
      </w:r>
      <w:r w:rsidR="14B80C9D" w:rsidRPr="00C44B9C">
        <w:rPr>
          <w:rFonts w:asciiTheme="minorHAnsi" w:hAnsiTheme="minorHAnsi" w:cstheme="minorHAnsi"/>
          <w:color w:val="000000" w:themeColor="text1"/>
          <w:sz w:val="24"/>
          <w:szCs w:val="24"/>
        </w:rPr>
        <w:t>E</w:t>
      </w:r>
      <w:r w:rsidR="005F05C3" w:rsidRPr="00C44B9C">
        <w:rPr>
          <w:rFonts w:asciiTheme="minorHAnsi" w:hAnsiTheme="minorHAnsi" w:cstheme="minorHAnsi"/>
          <w:color w:val="000000" w:themeColor="text1"/>
          <w:sz w:val="24"/>
          <w:szCs w:val="24"/>
        </w:rPr>
        <w:t>ast</w:t>
      </w:r>
      <w:proofErr w:type="gramEnd"/>
      <w:r w:rsidR="005F05C3" w:rsidRPr="00C44B9C">
        <w:rPr>
          <w:rFonts w:asciiTheme="minorHAnsi" w:hAnsiTheme="minorHAnsi" w:cstheme="minorHAnsi"/>
          <w:color w:val="000000" w:themeColor="text1"/>
          <w:sz w:val="24"/>
          <w:szCs w:val="24"/>
        </w:rPr>
        <w:t xml:space="preserve"> of Scotland</w:t>
      </w:r>
      <w:r w:rsidR="00BF4E15" w:rsidRPr="00C44B9C">
        <w:rPr>
          <w:rFonts w:asciiTheme="minorHAnsi" w:hAnsiTheme="minorHAnsi" w:cstheme="minorHAnsi"/>
          <w:color w:val="000000" w:themeColor="text1"/>
          <w:sz w:val="24"/>
          <w:szCs w:val="24"/>
        </w:rPr>
        <w:t xml:space="preserve">. </w:t>
      </w:r>
      <w:r w:rsidR="005F05C3" w:rsidRPr="00C44B9C">
        <w:rPr>
          <w:rFonts w:asciiTheme="minorHAnsi" w:hAnsiTheme="minorHAnsi" w:cstheme="minorHAnsi"/>
          <w:color w:val="000000" w:themeColor="text1"/>
          <w:sz w:val="24"/>
          <w:szCs w:val="24"/>
        </w:rPr>
        <w:t xml:space="preserve">They provide a nurse led healthcare service which includes full consultation, prescribing and harm reduction intervention. They make a significant effort to systematically meet the needs of the population that come into custody who often are not in treatment and are experiencing a significant amount of distress and crisis. This is a </w:t>
      </w:r>
      <w:r w:rsidR="00FC7795" w:rsidRPr="00C44B9C">
        <w:rPr>
          <w:rFonts w:asciiTheme="minorHAnsi" w:hAnsiTheme="minorHAnsi" w:cstheme="minorHAnsi"/>
          <w:color w:val="000000" w:themeColor="text1"/>
          <w:sz w:val="24"/>
          <w:szCs w:val="24"/>
        </w:rPr>
        <w:t>high-risk</w:t>
      </w:r>
      <w:r w:rsidR="005F05C3" w:rsidRPr="00C44B9C">
        <w:rPr>
          <w:rFonts w:asciiTheme="minorHAnsi" w:hAnsiTheme="minorHAnsi" w:cstheme="minorHAnsi"/>
          <w:color w:val="000000" w:themeColor="text1"/>
          <w:sz w:val="24"/>
          <w:szCs w:val="24"/>
        </w:rPr>
        <w:t xml:space="preserve"> population</w:t>
      </w:r>
      <w:r w:rsidR="00E320BE" w:rsidRPr="00C44B9C">
        <w:rPr>
          <w:rFonts w:asciiTheme="minorHAnsi" w:hAnsiTheme="minorHAnsi" w:cstheme="minorHAnsi"/>
          <w:color w:val="000000" w:themeColor="text1"/>
          <w:sz w:val="24"/>
          <w:szCs w:val="24"/>
        </w:rPr>
        <w:t xml:space="preserve">; </w:t>
      </w:r>
      <w:r w:rsidR="005F05C3" w:rsidRPr="00C44B9C">
        <w:rPr>
          <w:rFonts w:asciiTheme="minorHAnsi" w:hAnsiTheme="minorHAnsi" w:cstheme="minorHAnsi"/>
          <w:color w:val="000000" w:themeColor="text1"/>
          <w:sz w:val="24"/>
          <w:szCs w:val="24"/>
        </w:rPr>
        <w:t>not</w:t>
      </w:r>
      <w:r w:rsidR="00CF7D9D" w:rsidRPr="00C44B9C">
        <w:rPr>
          <w:rFonts w:asciiTheme="minorHAnsi" w:hAnsiTheme="minorHAnsi" w:cstheme="minorHAnsi"/>
          <w:color w:val="000000" w:themeColor="text1"/>
          <w:sz w:val="24"/>
          <w:szCs w:val="24"/>
        </w:rPr>
        <w:t>ing</w:t>
      </w:r>
      <w:r w:rsidR="005F05C3" w:rsidRPr="00C44B9C">
        <w:rPr>
          <w:rFonts w:asciiTheme="minorHAnsi" w:hAnsiTheme="minorHAnsi" w:cstheme="minorHAnsi"/>
          <w:color w:val="000000" w:themeColor="text1"/>
          <w:sz w:val="24"/>
          <w:szCs w:val="24"/>
        </w:rPr>
        <w:t xml:space="preserve"> that 20 % of people who have succumbed to a </w:t>
      </w:r>
      <w:r>
        <w:rPr>
          <w:rFonts w:asciiTheme="minorHAnsi" w:hAnsiTheme="minorHAnsi" w:cstheme="minorHAnsi"/>
          <w:color w:val="000000" w:themeColor="text1"/>
          <w:sz w:val="24"/>
          <w:szCs w:val="24"/>
        </w:rPr>
        <w:t>drug related death</w:t>
      </w:r>
      <w:r w:rsidR="005F05C3" w:rsidRPr="00C44B9C">
        <w:rPr>
          <w:rFonts w:asciiTheme="minorHAnsi" w:hAnsiTheme="minorHAnsi" w:cstheme="minorHAnsi"/>
          <w:color w:val="000000" w:themeColor="text1"/>
          <w:sz w:val="24"/>
          <w:szCs w:val="24"/>
        </w:rPr>
        <w:t xml:space="preserve"> in recent reports have had custody contact in the 6 months leading up to their death.</w:t>
      </w:r>
      <w:bookmarkEnd w:id="43"/>
    </w:p>
    <w:p w14:paraId="17708886" w14:textId="77777777" w:rsidR="00A27F04" w:rsidRDefault="00A27F04" w:rsidP="00A27F04">
      <w:pPr>
        <w:spacing w:line="240" w:lineRule="auto"/>
        <w:rPr>
          <w:rFonts w:cstheme="minorHAnsi"/>
          <w:color w:val="000000"/>
          <w:sz w:val="24"/>
          <w:szCs w:val="24"/>
        </w:rPr>
      </w:pPr>
    </w:p>
    <w:p w14:paraId="672AB346" w14:textId="77777777" w:rsidR="00A27F04" w:rsidRDefault="00A27F04" w:rsidP="00A27F04">
      <w:pPr>
        <w:spacing w:line="240" w:lineRule="auto"/>
        <w:ind w:left="644" w:hanging="644"/>
        <w:rPr>
          <w:rFonts w:cstheme="minorHAnsi"/>
          <w:color w:val="000000"/>
          <w:sz w:val="24"/>
          <w:szCs w:val="24"/>
        </w:rPr>
      </w:pPr>
      <w:r>
        <w:rPr>
          <w:rFonts w:cstheme="minorHAnsi"/>
          <w:color w:val="000000"/>
          <w:sz w:val="24"/>
          <w:szCs w:val="24"/>
        </w:rPr>
        <w:t>86.</w:t>
      </w:r>
      <w:r>
        <w:rPr>
          <w:rFonts w:cstheme="minorHAnsi"/>
          <w:color w:val="000000"/>
          <w:sz w:val="24"/>
          <w:szCs w:val="24"/>
        </w:rPr>
        <w:tab/>
        <w:t>EMORSS</w:t>
      </w:r>
      <w:r w:rsidR="00E320BE" w:rsidRPr="00C44B9C">
        <w:rPr>
          <w:rFonts w:cstheme="minorHAnsi"/>
          <w:color w:val="000000"/>
          <w:sz w:val="24"/>
          <w:szCs w:val="24"/>
        </w:rPr>
        <w:t xml:space="preserve"> work</w:t>
      </w:r>
      <w:r w:rsidR="004D2076" w:rsidRPr="00C44B9C">
        <w:rPr>
          <w:rFonts w:cstheme="minorHAnsi"/>
          <w:color w:val="000000"/>
          <w:sz w:val="24"/>
          <w:szCs w:val="24"/>
        </w:rPr>
        <w:t>s</w:t>
      </w:r>
      <w:r w:rsidR="00E320BE" w:rsidRPr="00C44B9C">
        <w:rPr>
          <w:rFonts w:cstheme="minorHAnsi"/>
          <w:color w:val="000000"/>
          <w:sz w:val="24"/>
          <w:szCs w:val="24"/>
        </w:rPr>
        <w:t xml:space="preserve"> with </w:t>
      </w:r>
      <w:r w:rsidR="00E320BE" w:rsidRPr="00A27F04">
        <w:rPr>
          <w:rFonts w:cstheme="minorHAnsi"/>
          <w:b/>
          <w:bCs/>
          <w:color w:val="000000"/>
          <w:sz w:val="24"/>
          <w:szCs w:val="24"/>
        </w:rPr>
        <w:t>C</w:t>
      </w:r>
      <w:r w:rsidRPr="00A27F04">
        <w:rPr>
          <w:rFonts w:cstheme="minorHAnsi"/>
          <w:b/>
          <w:bCs/>
          <w:color w:val="000000"/>
          <w:sz w:val="24"/>
          <w:szCs w:val="24"/>
        </w:rPr>
        <w:t>hange Grow Live</w:t>
      </w:r>
      <w:r>
        <w:rPr>
          <w:rFonts w:cstheme="minorHAnsi"/>
          <w:color w:val="000000"/>
          <w:sz w:val="24"/>
          <w:szCs w:val="24"/>
        </w:rPr>
        <w:t xml:space="preserve"> (CGL)</w:t>
      </w:r>
      <w:r w:rsidR="00E320BE" w:rsidRPr="00C44B9C">
        <w:rPr>
          <w:rFonts w:cstheme="minorHAnsi"/>
          <w:color w:val="000000"/>
          <w:sz w:val="24"/>
          <w:szCs w:val="24"/>
        </w:rPr>
        <w:t xml:space="preserve"> to provide </w:t>
      </w:r>
      <w:r w:rsidR="00FC7795" w:rsidRPr="00C44B9C">
        <w:rPr>
          <w:rFonts w:cstheme="minorHAnsi"/>
          <w:color w:val="000000"/>
          <w:sz w:val="24"/>
          <w:szCs w:val="24"/>
        </w:rPr>
        <w:t>ongoing</w:t>
      </w:r>
      <w:r w:rsidR="00D04FC4" w:rsidRPr="00C44B9C">
        <w:rPr>
          <w:rFonts w:cstheme="minorHAnsi"/>
          <w:color w:val="000000"/>
          <w:sz w:val="24"/>
          <w:szCs w:val="24"/>
        </w:rPr>
        <w:t xml:space="preserve"> care following custody through the arrest referral service. </w:t>
      </w:r>
      <w:r w:rsidR="00291E22" w:rsidRPr="00C44B9C">
        <w:rPr>
          <w:rFonts w:cstheme="minorHAnsi"/>
          <w:color w:val="000000"/>
          <w:sz w:val="24"/>
          <w:szCs w:val="24"/>
        </w:rPr>
        <w:t xml:space="preserve">The team </w:t>
      </w:r>
      <w:r w:rsidR="00FC7795" w:rsidRPr="00C44B9C">
        <w:rPr>
          <w:rFonts w:cstheme="minorHAnsi"/>
          <w:color w:val="000000"/>
          <w:sz w:val="24"/>
          <w:szCs w:val="24"/>
        </w:rPr>
        <w:t>can</w:t>
      </w:r>
      <w:r w:rsidR="00291E22" w:rsidRPr="00C44B9C">
        <w:rPr>
          <w:rFonts w:cstheme="minorHAnsi"/>
          <w:color w:val="000000"/>
          <w:sz w:val="24"/>
          <w:szCs w:val="24"/>
        </w:rPr>
        <w:t xml:space="preserve"> provide clinical care during custody and the </w:t>
      </w:r>
      <w:r w:rsidR="00473117" w:rsidRPr="00C44B9C">
        <w:rPr>
          <w:rFonts w:cstheme="minorHAnsi"/>
          <w:color w:val="000000"/>
          <w:sz w:val="24"/>
          <w:szCs w:val="24"/>
        </w:rPr>
        <w:t xml:space="preserve">importance of </w:t>
      </w:r>
      <w:r w:rsidR="00476421" w:rsidRPr="00C44B9C">
        <w:rPr>
          <w:rFonts w:cstheme="minorHAnsi"/>
          <w:color w:val="000000"/>
          <w:sz w:val="24"/>
          <w:szCs w:val="24"/>
        </w:rPr>
        <w:t>using</w:t>
      </w:r>
      <w:r w:rsidR="00473117" w:rsidRPr="00C44B9C">
        <w:rPr>
          <w:rFonts w:cstheme="minorHAnsi"/>
          <w:color w:val="000000"/>
          <w:sz w:val="24"/>
          <w:szCs w:val="24"/>
        </w:rPr>
        <w:t xml:space="preserve"> this </w:t>
      </w:r>
      <w:r w:rsidR="00291E22" w:rsidRPr="00C44B9C">
        <w:rPr>
          <w:rFonts w:cstheme="minorHAnsi"/>
          <w:color w:val="000000"/>
          <w:sz w:val="24"/>
          <w:szCs w:val="24"/>
        </w:rPr>
        <w:t xml:space="preserve">opportunity to initiate long term care </w:t>
      </w:r>
      <w:r w:rsidR="00473117" w:rsidRPr="00C44B9C">
        <w:rPr>
          <w:rFonts w:cstheme="minorHAnsi"/>
          <w:color w:val="000000"/>
          <w:sz w:val="24"/>
          <w:szCs w:val="24"/>
        </w:rPr>
        <w:t xml:space="preserve">is agreed locally and nationally; there are plans to </w:t>
      </w:r>
      <w:r w:rsidR="005B6DC8" w:rsidRPr="00C44B9C">
        <w:rPr>
          <w:rFonts w:cstheme="minorHAnsi"/>
          <w:color w:val="000000"/>
          <w:sz w:val="24"/>
          <w:szCs w:val="24"/>
        </w:rPr>
        <w:t>integrate the team</w:t>
      </w:r>
      <w:r w:rsidR="004D2076" w:rsidRPr="00C44B9C">
        <w:rPr>
          <w:rFonts w:cstheme="minorHAnsi"/>
          <w:color w:val="000000"/>
          <w:sz w:val="24"/>
          <w:szCs w:val="24"/>
        </w:rPr>
        <w:t xml:space="preserve">’s </w:t>
      </w:r>
      <w:r w:rsidR="005B6DC8" w:rsidRPr="00C44B9C">
        <w:rPr>
          <w:rFonts w:cstheme="minorHAnsi"/>
          <w:color w:val="000000"/>
          <w:sz w:val="24"/>
          <w:szCs w:val="24"/>
        </w:rPr>
        <w:t xml:space="preserve">interventions with the mainstream work on community </w:t>
      </w:r>
      <w:r w:rsidR="00473117" w:rsidRPr="00C44B9C">
        <w:rPr>
          <w:rFonts w:cstheme="minorHAnsi"/>
          <w:color w:val="000000"/>
          <w:sz w:val="24"/>
          <w:szCs w:val="24"/>
        </w:rPr>
        <w:t xml:space="preserve">Medication Assisted </w:t>
      </w:r>
      <w:r w:rsidR="00AB3149" w:rsidRPr="00C44B9C">
        <w:rPr>
          <w:rFonts w:cstheme="minorHAnsi"/>
          <w:color w:val="000000"/>
          <w:sz w:val="24"/>
          <w:szCs w:val="24"/>
        </w:rPr>
        <w:t>T</w:t>
      </w:r>
      <w:r w:rsidR="00473117" w:rsidRPr="00C44B9C">
        <w:rPr>
          <w:rFonts w:cstheme="minorHAnsi"/>
          <w:color w:val="000000"/>
          <w:sz w:val="24"/>
          <w:szCs w:val="24"/>
        </w:rPr>
        <w:t xml:space="preserve">reatment </w:t>
      </w:r>
      <w:r w:rsidR="004D2076" w:rsidRPr="00C44B9C">
        <w:rPr>
          <w:rFonts w:cstheme="minorHAnsi"/>
          <w:color w:val="000000"/>
          <w:sz w:val="24"/>
          <w:szCs w:val="24"/>
        </w:rPr>
        <w:t>(</w:t>
      </w:r>
      <w:r w:rsidR="00A836CE" w:rsidRPr="00C44B9C">
        <w:rPr>
          <w:rFonts w:cstheme="minorHAnsi"/>
          <w:color w:val="000000"/>
          <w:sz w:val="24"/>
          <w:szCs w:val="24"/>
        </w:rPr>
        <w:t>EdMAC</w:t>
      </w:r>
      <w:r w:rsidR="004D2076" w:rsidRPr="00C44B9C">
        <w:rPr>
          <w:rFonts w:cstheme="minorHAnsi"/>
          <w:color w:val="000000"/>
          <w:sz w:val="24"/>
          <w:szCs w:val="24"/>
        </w:rPr>
        <w:t xml:space="preserve">) </w:t>
      </w:r>
      <w:r w:rsidR="005B6DC8" w:rsidRPr="00C44B9C">
        <w:rPr>
          <w:rFonts w:cstheme="minorHAnsi"/>
          <w:color w:val="000000"/>
          <w:sz w:val="24"/>
          <w:szCs w:val="24"/>
        </w:rPr>
        <w:t xml:space="preserve">and other developments in the </w:t>
      </w:r>
      <w:r w:rsidR="00473117" w:rsidRPr="00C44B9C">
        <w:rPr>
          <w:rFonts w:cstheme="minorHAnsi"/>
          <w:color w:val="000000"/>
          <w:sz w:val="24"/>
          <w:szCs w:val="24"/>
        </w:rPr>
        <w:t xml:space="preserve">Justice </w:t>
      </w:r>
      <w:r w:rsidR="005B6DC8" w:rsidRPr="00C44B9C">
        <w:rPr>
          <w:rFonts w:cstheme="minorHAnsi"/>
          <w:color w:val="000000"/>
          <w:sz w:val="24"/>
          <w:szCs w:val="24"/>
        </w:rPr>
        <w:t xml:space="preserve">pathways (court and prison </w:t>
      </w:r>
      <w:r w:rsidR="004D2076" w:rsidRPr="00C44B9C">
        <w:rPr>
          <w:rFonts w:cstheme="minorHAnsi"/>
          <w:color w:val="000000"/>
          <w:sz w:val="24"/>
          <w:szCs w:val="24"/>
        </w:rPr>
        <w:t>services)</w:t>
      </w:r>
      <w:r w:rsidR="00CF7D9D" w:rsidRPr="00C44B9C">
        <w:rPr>
          <w:rFonts w:cstheme="minorHAnsi"/>
          <w:color w:val="000000"/>
          <w:sz w:val="24"/>
          <w:szCs w:val="24"/>
        </w:rPr>
        <w:t>.</w:t>
      </w:r>
    </w:p>
    <w:p w14:paraId="52A3F2C2" w14:textId="6A1177B6" w:rsidR="002E5670" w:rsidRPr="00A27F04" w:rsidRDefault="00A27F04" w:rsidP="00A27F04">
      <w:pPr>
        <w:spacing w:line="240" w:lineRule="auto"/>
        <w:ind w:left="644" w:hanging="644"/>
        <w:rPr>
          <w:rFonts w:cstheme="minorHAnsi"/>
          <w:color w:val="000000"/>
          <w:sz w:val="24"/>
          <w:szCs w:val="24"/>
        </w:rPr>
      </w:pPr>
      <w:r>
        <w:rPr>
          <w:rFonts w:cstheme="minorHAnsi"/>
          <w:color w:val="000000"/>
          <w:sz w:val="24"/>
          <w:szCs w:val="24"/>
        </w:rPr>
        <w:t>87.</w:t>
      </w:r>
      <w:r>
        <w:rPr>
          <w:rFonts w:cstheme="minorHAnsi"/>
          <w:color w:val="000000"/>
          <w:sz w:val="24"/>
          <w:szCs w:val="24"/>
        </w:rPr>
        <w:tab/>
      </w:r>
      <w:r w:rsidRPr="00A27F04">
        <w:rPr>
          <w:rFonts w:cstheme="minorHAnsi"/>
          <w:b/>
          <w:bCs/>
          <w:color w:val="000000"/>
          <w:sz w:val="24"/>
          <w:szCs w:val="24"/>
        </w:rPr>
        <w:t>E</w:t>
      </w:r>
      <w:r w:rsidR="00A64772" w:rsidRPr="00A27F04">
        <w:rPr>
          <w:rFonts w:cstheme="minorHAnsi"/>
          <w:b/>
          <w:bCs/>
          <w:sz w:val="24"/>
          <w:szCs w:val="24"/>
        </w:rPr>
        <w:t xml:space="preserve">mbedding of court liaison </w:t>
      </w:r>
      <w:r w:rsidR="00FC7795" w:rsidRPr="00A27F04">
        <w:rPr>
          <w:rFonts w:cstheme="minorHAnsi"/>
          <w:b/>
          <w:bCs/>
          <w:sz w:val="24"/>
          <w:szCs w:val="24"/>
        </w:rPr>
        <w:t>service</w:t>
      </w:r>
      <w:r w:rsidR="00FC7795" w:rsidRPr="00C44B9C">
        <w:rPr>
          <w:rFonts w:cstheme="minorHAnsi"/>
          <w:sz w:val="24"/>
          <w:szCs w:val="24"/>
        </w:rPr>
        <w:t>.</w:t>
      </w:r>
      <w:r w:rsidR="00BB5797" w:rsidRPr="00C44B9C">
        <w:rPr>
          <w:rFonts w:cstheme="minorHAnsi"/>
          <w:sz w:val="24"/>
          <w:szCs w:val="24"/>
        </w:rPr>
        <w:t xml:space="preserve"> This service</w:t>
      </w:r>
      <w:r w:rsidR="00A64772" w:rsidRPr="00C44B9C">
        <w:rPr>
          <w:rFonts w:cstheme="minorHAnsi"/>
          <w:sz w:val="24"/>
          <w:szCs w:val="24"/>
        </w:rPr>
        <w:t xml:space="preserve"> is successfully identifying people who are passing through court and who would benefit from interventions to address their drug or alcohol use and making referrals</w:t>
      </w:r>
      <w:r w:rsidR="00BB5797" w:rsidRPr="00C44B9C">
        <w:rPr>
          <w:rFonts w:cstheme="minorHAnsi"/>
          <w:sz w:val="24"/>
          <w:szCs w:val="24"/>
        </w:rPr>
        <w:t>. T</w:t>
      </w:r>
      <w:r w:rsidR="00A64772" w:rsidRPr="00C44B9C">
        <w:rPr>
          <w:rFonts w:cstheme="minorHAnsi"/>
          <w:sz w:val="24"/>
          <w:szCs w:val="24"/>
        </w:rPr>
        <w:t>he f</w:t>
      </w:r>
      <w:r w:rsidR="00BB5797" w:rsidRPr="00C44B9C">
        <w:rPr>
          <w:rFonts w:cstheme="minorHAnsi"/>
          <w:sz w:val="24"/>
          <w:szCs w:val="24"/>
        </w:rPr>
        <w:t>urther</w:t>
      </w:r>
      <w:r w:rsidR="00A64772" w:rsidRPr="00C44B9C">
        <w:rPr>
          <w:rFonts w:cstheme="minorHAnsi"/>
          <w:sz w:val="24"/>
          <w:szCs w:val="24"/>
        </w:rPr>
        <w:t xml:space="preserve"> development of a recovery space for mutual aid and professional support at HMP Edinburgh (“The Cove”) for which the ADP has funded additional support</w:t>
      </w:r>
    </w:p>
    <w:p w14:paraId="70201036" w14:textId="77777777" w:rsidR="009A7BC5" w:rsidRPr="00C44B9C" w:rsidRDefault="009A7BC5" w:rsidP="009A7BC5">
      <w:pPr>
        <w:pStyle w:val="Title"/>
        <w:rPr>
          <w:rFonts w:asciiTheme="minorHAnsi" w:hAnsiTheme="minorHAnsi" w:cstheme="minorHAnsi"/>
          <w:sz w:val="24"/>
          <w:szCs w:val="24"/>
        </w:rPr>
      </w:pPr>
    </w:p>
    <w:p w14:paraId="281E0C59" w14:textId="450909B0" w:rsidR="00A27F04" w:rsidRDefault="00E06A92" w:rsidP="00A27F04">
      <w:pPr>
        <w:pStyle w:val="Title"/>
        <w:rPr>
          <w:rFonts w:asciiTheme="minorHAnsi" w:hAnsiTheme="minorHAnsi" w:cstheme="minorHAnsi"/>
          <w:b/>
          <w:bCs/>
          <w:color w:val="4472C4" w:themeColor="accent1"/>
          <w:sz w:val="32"/>
          <w:szCs w:val="32"/>
        </w:rPr>
      </w:pPr>
      <w:bookmarkStart w:id="44" w:name="_Toc174006767"/>
      <w:r>
        <w:rPr>
          <w:rFonts w:asciiTheme="minorHAnsi" w:hAnsiTheme="minorHAnsi" w:cstheme="minorHAnsi"/>
          <w:b/>
          <w:bCs/>
          <w:color w:val="4472C4" w:themeColor="accent1"/>
          <w:sz w:val="32"/>
          <w:szCs w:val="32"/>
        </w:rPr>
        <w:t>The voices of people with lived and living experience</w:t>
      </w:r>
      <w:bookmarkEnd w:id="44"/>
      <w:r>
        <w:rPr>
          <w:rFonts w:asciiTheme="minorHAnsi" w:hAnsiTheme="minorHAnsi" w:cstheme="minorHAnsi"/>
          <w:b/>
          <w:bCs/>
          <w:color w:val="4472C4" w:themeColor="accent1"/>
          <w:sz w:val="32"/>
          <w:szCs w:val="32"/>
        </w:rPr>
        <w:t xml:space="preserve"> </w:t>
      </w:r>
    </w:p>
    <w:p w14:paraId="7835F0A5" w14:textId="77777777" w:rsidR="00A27F04" w:rsidRDefault="00A27F04" w:rsidP="00A27F04">
      <w:pPr>
        <w:pStyle w:val="Title"/>
        <w:rPr>
          <w:rFonts w:asciiTheme="minorHAnsi" w:hAnsiTheme="minorHAnsi" w:cstheme="minorHAnsi"/>
          <w:b/>
          <w:bCs/>
          <w:color w:val="4472C4" w:themeColor="accent1"/>
          <w:sz w:val="32"/>
          <w:szCs w:val="32"/>
        </w:rPr>
      </w:pPr>
    </w:p>
    <w:p w14:paraId="1E914A31" w14:textId="00F58C82" w:rsidR="00FD75D7" w:rsidRPr="00E06A92" w:rsidRDefault="00A27F04" w:rsidP="00E06A92">
      <w:pPr>
        <w:ind w:left="720" w:hanging="720"/>
        <w:rPr>
          <w:sz w:val="24"/>
          <w:szCs w:val="24"/>
        </w:rPr>
      </w:pPr>
      <w:r w:rsidRPr="00E06A92">
        <w:rPr>
          <w:sz w:val="24"/>
          <w:szCs w:val="24"/>
        </w:rPr>
        <w:t>88.</w:t>
      </w:r>
      <w:r w:rsidRPr="00E06A92">
        <w:rPr>
          <w:sz w:val="24"/>
          <w:szCs w:val="24"/>
        </w:rPr>
        <w:tab/>
      </w:r>
      <w:r w:rsidR="00FD75D7" w:rsidRPr="00E06A92">
        <w:rPr>
          <w:b/>
          <w:bCs/>
          <w:sz w:val="24"/>
          <w:szCs w:val="24"/>
        </w:rPr>
        <w:t>Putting lived experience at the heart of decision EADP decision-making:</w:t>
      </w:r>
      <w:r w:rsidRPr="00E06A92">
        <w:rPr>
          <w:b/>
          <w:bCs/>
          <w:sz w:val="24"/>
          <w:szCs w:val="24"/>
        </w:rPr>
        <w:t xml:space="preserve"> </w:t>
      </w:r>
      <w:r w:rsidR="00FD75D7" w:rsidRPr="00E06A92">
        <w:rPr>
          <w:sz w:val="24"/>
          <w:szCs w:val="24"/>
        </w:rPr>
        <w:t>Along with many other bodies and organisations in the area of drug and alcohol use, the ADP has a longstanding commitment to making peoples lived and living experience of drug and alcohol use the central guide to its decision making. In common with most of those other bodies, the ADP cannot claim to have fully achieved that goal but has made some good progress.</w:t>
      </w:r>
    </w:p>
    <w:p w14:paraId="46D80B8C" w14:textId="7E826C97" w:rsidR="00FD75D7" w:rsidRPr="00E06A92" w:rsidRDefault="00A27F04" w:rsidP="00E06A92">
      <w:pPr>
        <w:ind w:left="720" w:hanging="720"/>
        <w:rPr>
          <w:sz w:val="24"/>
          <w:szCs w:val="24"/>
        </w:rPr>
      </w:pPr>
      <w:r w:rsidRPr="00E06A92">
        <w:rPr>
          <w:sz w:val="24"/>
          <w:szCs w:val="24"/>
        </w:rPr>
        <w:t>89</w:t>
      </w:r>
      <w:r w:rsidRPr="00E06A92">
        <w:rPr>
          <w:sz w:val="24"/>
          <w:szCs w:val="24"/>
        </w:rPr>
        <w:tab/>
      </w:r>
      <w:r w:rsidR="00FD75D7" w:rsidRPr="00E06A92">
        <w:rPr>
          <w:sz w:val="24"/>
          <w:szCs w:val="24"/>
        </w:rPr>
        <w:t xml:space="preserve">In February 2024, the EADP Executive agreed a programme with the ambition that: </w:t>
      </w:r>
      <w:r w:rsidR="00FD75D7" w:rsidRPr="00E06A92">
        <w:rPr>
          <w:b/>
          <w:bCs/>
          <w:i/>
          <w:iCs/>
          <w:sz w:val="24"/>
          <w:szCs w:val="24"/>
        </w:rPr>
        <w:t xml:space="preserve">families and people with lived or living experience are at the heart of the development and delivery of services. </w:t>
      </w:r>
      <w:r w:rsidR="00FD75D7" w:rsidRPr="00E06A92">
        <w:rPr>
          <w:sz w:val="24"/>
          <w:szCs w:val="24"/>
        </w:rPr>
        <w:t>This programme includes six workstreams:</w:t>
      </w:r>
    </w:p>
    <w:p w14:paraId="693FDA37" w14:textId="72B8027B" w:rsidR="00FD75D7" w:rsidRPr="00E06A92" w:rsidRDefault="00FD75D7" w:rsidP="00E06A92">
      <w:pPr>
        <w:ind w:left="720"/>
        <w:rPr>
          <w:sz w:val="24"/>
          <w:szCs w:val="24"/>
        </w:rPr>
      </w:pPr>
      <w:r w:rsidRPr="00E06A92">
        <w:rPr>
          <w:b/>
          <w:bCs/>
          <w:sz w:val="24"/>
          <w:szCs w:val="24"/>
        </w:rPr>
        <w:lastRenderedPageBreak/>
        <w:t>Lived-and-Living experience panel</w:t>
      </w:r>
      <w:r w:rsidRPr="00E06A92">
        <w:rPr>
          <w:sz w:val="24"/>
          <w:szCs w:val="24"/>
        </w:rPr>
        <w:t xml:space="preserve"> (working title): A representative community panel, supported by an employed facilitator with a core steering group and links to the wider recovery community. A feasibility study, including development of a local model was undertaken in 2023-24 by EVOC. This work included very substantial engagement with lived and living experience (at least 80 </w:t>
      </w:r>
      <w:r w:rsidR="00BF4E15" w:rsidRPr="00E06A92">
        <w:rPr>
          <w:sz w:val="24"/>
          <w:szCs w:val="24"/>
        </w:rPr>
        <w:t>individuals)</w:t>
      </w:r>
      <w:r w:rsidRPr="00E06A92">
        <w:rPr>
          <w:sz w:val="24"/>
          <w:szCs w:val="24"/>
        </w:rPr>
        <w:t xml:space="preserve"> which itself provided a huge amount of insight. A contract for facilitation of the agreed model is being commissioned by the EADP in 2024-25.</w:t>
      </w:r>
    </w:p>
    <w:p w14:paraId="51A36072" w14:textId="77777777" w:rsidR="00FD75D7" w:rsidRPr="00E06A92" w:rsidRDefault="00FD75D7" w:rsidP="00E06A92">
      <w:pPr>
        <w:ind w:left="720"/>
        <w:rPr>
          <w:sz w:val="24"/>
          <w:szCs w:val="24"/>
        </w:rPr>
      </w:pPr>
      <w:r w:rsidRPr="00E06A92">
        <w:rPr>
          <w:b/>
          <w:bCs/>
          <w:sz w:val="24"/>
          <w:szCs w:val="24"/>
        </w:rPr>
        <w:t>Edinburgh Living experience panel</w:t>
      </w:r>
      <w:r w:rsidRPr="00E06A92">
        <w:rPr>
          <w:sz w:val="24"/>
          <w:szCs w:val="24"/>
        </w:rPr>
        <w:t>: A regular community panel, facilitated by a national organisation (</w:t>
      </w:r>
      <w:hyperlink r:id="rId24" w:tooltip="https://sdf.org.uk/work/lived-and-living-experience/living-experience-engagement/" w:history="1">
        <w:r w:rsidRPr="00E06A92">
          <w:rPr>
            <w:rStyle w:val="Hyperlink"/>
            <w:rFonts w:cstheme="minorHAnsi"/>
            <w:color w:val="auto"/>
            <w:sz w:val="24"/>
            <w:szCs w:val="24"/>
          </w:rPr>
          <w:t>Scottish Drugs Forum</w:t>
        </w:r>
      </w:hyperlink>
      <w:r w:rsidRPr="00E06A92">
        <w:rPr>
          <w:sz w:val="24"/>
          <w:szCs w:val="24"/>
        </w:rPr>
        <w:t>) aiming to engage those still in active drug and alcohol use and to capture their experience and needs. This is now running jointly with the Salvation Army and other partners</w:t>
      </w:r>
    </w:p>
    <w:p w14:paraId="03B7E7E9" w14:textId="5285D760" w:rsidR="00FD75D7" w:rsidRPr="00E06A92" w:rsidRDefault="00FD75D7" w:rsidP="00E06A92">
      <w:pPr>
        <w:ind w:left="720"/>
        <w:rPr>
          <w:sz w:val="24"/>
          <w:szCs w:val="24"/>
        </w:rPr>
      </w:pPr>
      <w:r w:rsidRPr="00E06A92">
        <w:rPr>
          <w:b/>
          <w:bCs/>
          <w:sz w:val="24"/>
          <w:szCs w:val="24"/>
        </w:rPr>
        <w:t>MAT experiential data gathering process</w:t>
      </w:r>
      <w:r w:rsidRPr="00E06A92">
        <w:rPr>
          <w:sz w:val="24"/>
          <w:szCs w:val="24"/>
        </w:rPr>
        <w:t xml:space="preserve">: this is a rolling programme of interviews undertaken </w:t>
      </w:r>
      <w:r w:rsidR="00A27F04" w:rsidRPr="00E06A92">
        <w:rPr>
          <w:sz w:val="24"/>
          <w:szCs w:val="24"/>
        </w:rPr>
        <w:t>by</w:t>
      </w:r>
      <w:r w:rsidRPr="00E06A92">
        <w:rPr>
          <w:sz w:val="24"/>
          <w:szCs w:val="24"/>
        </w:rPr>
        <w:t xml:space="preserve"> people with lived experience who work in services</w:t>
      </w:r>
      <w:r w:rsidR="00A27F04" w:rsidRPr="00E06A92">
        <w:rPr>
          <w:sz w:val="24"/>
          <w:szCs w:val="24"/>
        </w:rPr>
        <w:t xml:space="preserve"> with</w:t>
      </w:r>
      <w:r w:rsidRPr="00E06A92">
        <w:rPr>
          <w:sz w:val="24"/>
          <w:szCs w:val="24"/>
        </w:rPr>
        <w:t xml:space="preserve"> people who use the service. They are part of the evaluation evidence for the MAT standards and </w:t>
      </w:r>
      <w:r w:rsidR="00A27F04" w:rsidRPr="00E06A92">
        <w:rPr>
          <w:sz w:val="24"/>
          <w:szCs w:val="24"/>
        </w:rPr>
        <w:t xml:space="preserve">helped </w:t>
      </w:r>
      <w:r w:rsidRPr="00E06A92">
        <w:rPr>
          <w:sz w:val="24"/>
          <w:szCs w:val="24"/>
        </w:rPr>
        <w:t xml:space="preserve">inform the </w:t>
      </w:r>
      <w:r w:rsidR="00A27F04" w:rsidRPr="00E06A92">
        <w:rPr>
          <w:sz w:val="24"/>
          <w:szCs w:val="24"/>
        </w:rPr>
        <w:t>c</w:t>
      </w:r>
      <w:r w:rsidRPr="00E06A92">
        <w:rPr>
          <w:sz w:val="24"/>
          <w:szCs w:val="24"/>
        </w:rPr>
        <w:t xml:space="preserve">o-production work on the EADP strategy. These were </w:t>
      </w:r>
      <w:r w:rsidR="00BF4E15" w:rsidRPr="00E06A92">
        <w:rPr>
          <w:sz w:val="24"/>
          <w:szCs w:val="24"/>
        </w:rPr>
        <w:t>expanded</w:t>
      </w:r>
      <w:r w:rsidRPr="00E06A92">
        <w:rPr>
          <w:sz w:val="24"/>
          <w:szCs w:val="24"/>
        </w:rPr>
        <w:t xml:space="preserve"> in 2023-24, with 47 interviews with people who have themselves used treatment services and a further 5 interviews with the loved ones of people who have. A further 9 interviews took place to inform the DTTO review process. The interviews were extremely high quality and the findings have been shared with managers and decision makers.</w:t>
      </w:r>
    </w:p>
    <w:p w14:paraId="414877BD" w14:textId="1EB4B95F" w:rsidR="00FD75D7" w:rsidRPr="00E06A92" w:rsidRDefault="00FD75D7" w:rsidP="00E06A92">
      <w:pPr>
        <w:ind w:left="720"/>
        <w:rPr>
          <w:sz w:val="24"/>
          <w:szCs w:val="24"/>
        </w:rPr>
      </w:pPr>
      <w:r w:rsidRPr="00E06A92">
        <w:rPr>
          <w:b/>
          <w:bCs/>
          <w:sz w:val="24"/>
          <w:szCs w:val="24"/>
        </w:rPr>
        <w:t>Ellipsis:</w:t>
      </w:r>
      <w:r w:rsidRPr="00E06A92">
        <w:rPr>
          <w:sz w:val="24"/>
          <w:szCs w:val="24"/>
        </w:rPr>
        <w:t xml:space="preserve">  A narrative change programme collecting and analysing people’s stories which will generate new insights to directly influence and change health and social care for people in </w:t>
      </w:r>
      <w:r w:rsidR="00A27F04" w:rsidRPr="00E06A92">
        <w:rPr>
          <w:sz w:val="24"/>
          <w:szCs w:val="24"/>
        </w:rPr>
        <w:t>Edinburgh. This</w:t>
      </w:r>
      <w:r w:rsidRPr="00E06A92">
        <w:rPr>
          <w:sz w:val="24"/>
          <w:szCs w:val="24"/>
        </w:rPr>
        <w:t xml:space="preserve"> was commissioned in 2023-24 and is currently developing its processes.</w:t>
      </w:r>
    </w:p>
    <w:p w14:paraId="03C5ADDC" w14:textId="11D897B1" w:rsidR="0088271F" w:rsidRPr="00E06A92" w:rsidRDefault="00FD75D7" w:rsidP="00E06A92">
      <w:pPr>
        <w:ind w:left="720"/>
        <w:rPr>
          <w:sz w:val="24"/>
          <w:szCs w:val="24"/>
        </w:rPr>
      </w:pPr>
      <w:r w:rsidRPr="00E06A92">
        <w:rPr>
          <w:b/>
          <w:bCs/>
          <w:sz w:val="24"/>
          <w:szCs w:val="24"/>
        </w:rPr>
        <w:t xml:space="preserve">Independent Collective </w:t>
      </w:r>
      <w:r w:rsidR="00A27F04" w:rsidRPr="00E06A92">
        <w:rPr>
          <w:b/>
          <w:bCs/>
          <w:sz w:val="24"/>
          <w:szCs w:val="24"/>
        </w:rPr>
        <w:t>A</w:t>
      </w:r>
      <w:r w:rsidRPr="00E06A92">
        <w:rPr>
          <w:b/>
          <w:bCs/>
          <w:sz w:val="24"/>
          <w:szCs w:val="24"/>
        </w:rPr>
        <w:t>dvocacy</w:t>
      </w:r>
      <w:r w:rsidRPr="00E06A92">
        <w:rPr>
          <w:sz w:val="24"/>
          <w:szCs w:val="24"/>
        </w:rPr>
        <w:t xml:space="preserve">: </w:t>
      </w:r>
      <w:r w:rsidR="0088271F" w:rsidRPr="00E06A92">
        <w:rPr>
          <w:sz w:val="24"/>
          <w:szCs w:val="24"/>
        </w:rPr>
        <w:t xml:space="preserve">This </w:t>
      </w:r>
      <w:r w:rsidRPr="00E06A92">
        <w:rPr>
          <w:sz w:val="24"/>
          <w:szCs w:val="24"/>
        </w:rPr>
        <w:t>provide</w:t>
      </w:r>
      <w:r w:rsidR="0088271F" w:rsidRPr="00E06A92">
        <w:rPr>
          <w:sz w:val="24"/>
          <w:szCs w:val="24"/>
        </w:rPr>
        <w:t>s</w:t>
      </w:r>
      <w:r w:rsidRPr="00E06A92">
        <w:rPr>
          <w:sz w:val="24"/>
          <w:szCs w:val="24"/>
        </w:rPr>
        <w:t xml:space="preserve"> a supportive environment in which a group can explore this interest, identify </w:t>
      </w:r>
      <w:r w:rsidR="00BF4E15" w:rsidRPr="00E06A92">
        <w:rPr>
          <w:sz w:val="24"/>
          <w:szCs w:val="24"/>
        </w:rPr>
        <w:t>goals,</w:t>
      </w:r>
      <w:r w:rsidRPr="00E06A92">
        <w:rPr>
          <w:sz w:val="24"/>
          <w:szCs w:val="24"/>
        </w:rPr>
        <w:t xml:space="preserve"> and seek possible solutions. This has been commissioned from the Patients’ </w:t>
      </w:r>
      <w:r w:rsidR="0088271F" w:rsidRPr="00E06A92">
        <w:rPr>
          <w:sz w:val="24"/>
          <w:szCs w:val="24"/>
        </w:rPr>
        <w:t>C</w:t>
      </w:r>
      <w:r w:rsidRPr="00E06A92">
        <w:rPr>
          <w:sz w:val="24"/>
          <w:szCs w:val="24"/>
        </w:rPr>
        <w:t>ouncil</w:t>
      </w:r>
    </w:p>
    <w:p w14:paraId="3409B6FB" w14:textId="77777777" w:rsidR="0088271F" w:rsidRPr="00E06A92" w:rsidRDefault="0088271F" w:rsidP="00E06A92">
      <w:pPr>
        <w:ind w:firstLine="720"/>
        <w:rPr>
          <w:sz w:val="24"/>
          <w:szCs w:val="24"/>
        </w:rPr>
      </w:pPr>
      <w:r w:rsidRPr="00E06A92">
        <w:rPr>
          <w:b/>
          <w:bCs/>
          <w:sz w:val="24"/>
          <w:szCs w:val="24"/>
        </w:rPr>
        <w:t>G</w:t>
      </w:r>
      <w:r w:rsidR="00FD75D7" w:rsidRPr="00E06A92">
        <w:rPr>
          <w:b/>
          <w:bCs/>
          <w:sz w:val="24"/>
          <w:szCs w:val="24"/>
        </w:rPr>
        <w:t>eneral consultation and co-production</w:t>
      </w:r>
      <w:r w:rsidR="00FD75D7" w:rsidRPr="00E06A92">
        <w:rPr>
          <w:sz w:val="24"/>
          <w:szCs w:val="24"/>
        </w:rPr>
        <w:t xml:space="preserve"> This year</w:t>
      </w:r>
      <w:r w:rsidRPr="00E06A92">
        <w:rPr>
          <w:sz w:val="24"/>
          <w:szCs w:val="24"/>
        </w:rPr>
        <w:t xml:space="preserve"> this </w:t>
      </w:r>
      <w:r w:rsidR="00FD75D7" w:rsidRPr="00E06A92">
        <w:rPr>
          <w:sz w:val="24"/>
          <w:szCs w:val="24"/>
        </w:rPr>
        <w:t>included</w:t>
      </w:r>
      <w:r w:rsidRPr="00E06A92">
        <w:rPr>
          <w:sz w:val="24"/>
          <w:szCs w:val="24"/>
        </w:rPr>
        <w:t xml:space="preserve">: </w:t>
      </w:r>
    </w:p>
    <w:p w14:paraId="39B5E9A7" w14:textId="48D74275" w:rsidR="0088271F" w:rsidRPr="00E06A92" w:rsidRDefault="0088271F" w:rsidP="00E06A92">
      <w:pPr>
        <w:pStyle w:val="ListParagraph"/>
        <w:numPr>
          <w:ilvl w:val="0"/>
          <w:numId w:val="33"/>
        </w:numPr>
        <w:rPr>
          <w:sz w:val="24"/>
          <w:szCs w:val="24"/>
        </w:rPr>
      </w:pPr>
      <w:r w:rsidRPr="00E06A92">
        <w:rPr>
          <w:sz w:val="24"/>
          <w:szCs w:val="24"/>
        </w:rPr>
        <w:t>F</w:t>
      </w:r>
      <w:r w:rsidR="00FD75D7" w:rsidRPr="00E06A92">
        <w:rPr>
          <w:sz w:val="24"/>
          <w:szCs w:val="24"/>
        </w:rPr>
        <w:t xml:space="preserve">easibility study into </w:t>
      </w:r>
      <w:hyperlink r:id="rId25" w:tooltip="https://www.edinburgh.gov.uk/downloads/download/15662/edinburgh-safer-drug-consumption-facilities-and-drug-checking-services-feasibility-studies" w:history="1">
        <w:r w:rsidR="00FD75D7" w:rsidRPr="00E06A92">
          <w:rPr>
            <w:rStyle w:val="Hyperlink"/>
            <w:rFonts w:cstheme="minorHAnsi"/>
            <w:color w:val="auto"/>
            <w:sz w:val="24"/>
            <w:szCs w:val="24"/>
          </w:rPr>
          <w:t>Safer Drug Consumption Facility and Drug Checking Services</w:t>
        </w:r>
      </w:hyperlink>
      <w:r w:rsidR="00FD75D7" w:rsidRPr="00E06A92">
        <w:rPr>
          <w:sz w:val="24"/>
          <w:szCs w:val="24"/>
        </w:rPr>
        <w:t> </w:t>
      </w:r>
      <w:r w:rsidRPr="00E06A92">
        <w:rPr>
          <w:sz w:val="24"/>
          <w:szCs w:val="24"/>
        </w:rPr>
        <w:t xml:space="preserve"> with </w:t>
      </w:r>
      <w:r w:rsidR="00FD75D7" w:rsidRPr="00E06A92">
        <w:rPr>
          <w:sz w:val="24"/>
          <w:szCs w:val="24"/>
        </w:rPr>
        <w:t>39 people with lived and living experience and 9 family members were interviewed</w:t>
      </w:r>
    </w:p>
    <w:p w14:paraId="1E552295" w14:textId="68CDEBFF" w:rsidR="00FD75D7" w:rsidRPr="00E06A92" w:rsidRDefault="0088271F" w:rsidP="00E06A92">
      <w:pPr>
        <w:pStyle w:val="ListParagraph"/>
        <w:numPr>
          <w:ilvl w:val="0"/>
          <w:numId w:val="33"/>
        </w:numPr>
        <w:rPr>
          <w:sz w:val="24"/>
          <w:szCs w:val="24"/>
        </w:rPr>
      </w:pPr>
      <w:r w:rsidRPr="00E06A92">
        <w:rPr>
          <w:sz w:val="24"/>
          <w:szCs w:val="24"/>
        </w:rPr>
        <w:t>C</w:t>
      </w:r>
      <w:r w:rsidR="00FD75D7" w:rsidRPr="00E06A92">
        <w:rPr>
          <w:sz w:val="24"/>
          <w:szCs w:val="24"/>
        </w:rPr>
        <w:t xml:space="preserve">o-production of </w:t>
      </w:r>
      <w:r w:rsidRPr="00E06A92">
        <w:rPr>
          <w:sz w:val="24"/>
          <w:szCs w:val="24"/>
        </w:rPr>
        <w:t xml:space="preserve">the draft </w:t>
      </w:r>
      <w:r w:rsidR="00FD75D7" w:rsidRPr="00E06A92">
        <w:rPr>
          <w:sz w:val="24"/>
          <w:szCs w:val="24"/>
        </w:rPr>
        <w:t>EADP strategy</w:t>
      </w:r>
      <w:r w:rsidRPr="00E06A92">
        <w:rPr>
          <w:sz w:val="24"/>
          <w:szCs w:val="24"/>
        </w:rPr>
        <w:t xml:space="preserve"> – people with living experience participating </w:t>
      </w:r>
      <w:r w:rsidR="00FD75D7" w:rsidRPr="00E06A92">
        <w:rPr>
          <w:sz w:val="24"/>
          <w:szCs w:val="24"/>
        </w:rPr>
        <w:t xml:space="preserve">in all aspects </w:t>
      </w:r>
      <w:r w:rsidRPr="00E06A92">
        <w:rPr>
          <w:sz w:val="24"/>
          <w:szCs w:val="24"/>
        </w:rPr>
        <w:t xml:space="preserve">of codesigning and </w:t>
      </w:r>
      <w:r w:rsidR="00FD75D7" w:rsidRPr="00E06A92">
        <w:rPr>
          <w:sz w:val="24"/>
          <w:szCs w:val="24"/>
        </w:rPr>
        <w:t>commissioning activities include L/LE representation).</w:t>
      </w:r>
    </w:p>
    <w:p w14:paraId="24C6F0B3" w14:textId="49D7BE9F" w:rsidR="00A244CB" w:rsidRPr="00E06A92" w:rsidRDefault="0088271F" w:rsidP="00E06A92">
      <w:pPr>
        <w:ind w:left="720" w:hanging="720"/>
        <w:rPr>
          <w:sz w:val="24"/>
          <w:szCs w:val="24"/>
        </w:rPr>
      </w:pPr>
      <w:r w:rsidRPr="008160B0">
        <w:rPr>
          <w:sz w:val="24"/>
          <w:szCs w:val="24"/>
        </w:rPr>
        <w:t>90</w:t>
      </w:r>
      <w:r w:rsidRPr="00E06A92">
        <w:rPr>
          <w:b/>
          <w:bCs/>
          <w:sz w:val="24"/>
          <w:szCs w:val="24"/>
        </w:rPr>
        <w:t>.</w:t>
      </w:r>
      <w:r w:rsidRPr="00E06A92">
        <w:rPr>
          <w:b/>
          <w:bCs/>
          <w:sz w:val="24"/>
          <w:szCs w:val="24"/>
        </w:rPr>
        <w:tab/>
      </w:r>
      <w:r w:rsidR="00A244CB" w:rsidRPr="00E06A92">
        <w:rPr>
          <w:b/>
          <w:bCs/>
          <w:sz w:val="24"/>
          <w:szCs w:val="24"/>
        </w:rPr>
        <w:t>Co-production of the EADP strategy 2024-27</w:t>
      </w:r>
      <w:r w:rsidRPr="00E06A92">
        <w:rPr>
          <w:b/>
          <w:bCs/>
          <w:sz w:val="24"/>
          <w:szCs w:val="24"/>
        </w:rPr>
        <w:t xml:space="preserve"> </w:t>
      </w:r>
      <w:r w:rsidR="00BF4E15" w:rsidRPr="00E06A92">
        <w:rPr>
          <w:b/>
          <w:bCs/>
          <w:sz w:val="24"/>
          <w:szCs w:val="24"/>
        </w:rPr>
        <w:t>- Between</w:t>
      </w:r>
      <w:r w:rsidR="00A244CB" w:rsidRPr="00E06A92">
        <w:rPr>
          <w:sz w:val="24"/>
          <w:szCs w:val="24"/>
        </w:rPr>
        <w:t xml:space="preserve"> October 2023 and April 2024, the EADP co</w:t>
      </w:r>
      <w:r w:rsidR="00FD75D7" w:rsidRPr="00E06A92">
        <w:rPr>
          <w:sz w:val="24"/>
          <w:szCs w:val="24"/>
        </w:rPr>
        <w:t>-</w:t>
      </w:r>
      <w:r w:rsidR="00A244CB" w:rsidRPr="00E06A92">
        <w:rPr>
          <w:sz w:val="24"/>
          <w:szCs w:val="24"/>
        </w:rPr>
        <w:t>produced a draft strategy for 2024-27. The process consisted of:</w:t>
      </w:r>
    </w:p>
    <w:p w14:paraId="1DA9AD91" w14:textId="03152B90" w:rsidR="00A244CB" w:rsidRPr="00E06A92" w:rsidRDefault="0088271F" w:rsidP="00E06A92">
      <w:pPr>
        <w:ind w:left="720" w:hanging="720"/>
        <w:rPr>
          <w:sz w:val="24"/>
          <w:szCs w:val="24"/>
        </w:rPr>
      </w:pPr>
      <w:r w:rsidRPr="008160B0">
        <w:rPr>
          <w:sz w:val="24"/>
          <w:szCs w:val="24"/>
        </w:rPr>
        <w:t>91</w:t>
      </w:r>
      <w:r w:rsidR="00E06A92" w:rsidRPr="008160B0">
        <w:rPr>
          <w:sz w:val="24"/>
          <w:szCs w:val="24"/>
        </w:rPr>
        <w:t>.</w:t>
      </w:r>
      <w:r w:rsidRPr="00E06A92">
        <w:rPr>
          <w:b/>
          <w:bCs/>
          <w:sz w:val="24"/>
          <w:szCs w:val="24"/>
        </w:rPr>
        <w:tab/>
      </w:r>
      <w:r w:rsidR="00A244CB" w:rsidRPr="00E06A92">
        <w:rPr>
          <w:b/>
          <w:bCs/>
          <w:sz w:val="24"/>
          <w:szCs w:val="24"/>
        </w:rPr>
        <w:t xml:space="preserve">Online Co-Production Survey:  </w:t>
      </w:r>
      <w:r w:rsidR="00A244CB" w:rsidRPr="00E06A92">
        <w:rPr>
          <w:sz w:val="24"/>
          <w:szCs w:val="24"/>
        </w:rPr>
        <w:t>EADP officers undertook a survey which was open to anyone to contribute to. The survey was conducted online and promoted by being circulated by email and being raised in several meetings. It was open for 6 weeks (20</w:t>
      </w:r>
      <w:r w:rsidR="00A244CB" w:rsidRPr="00E06A92">
        <w:rPr>
          <w:sz w:val="24"/>
          <w:szCs w:val="24"/>
          <w:vertAlign w:val="superscript"/>
        </w:rPr>
        <w:t>th</w:t>
      </w:r>
      <w:r w:rsidR="00A244CB" w:rsidRPr="00E06A92">
        <w:rPr>
          <w:sz w:val="24"/>
          <w:szCs w:val="24"/>
        </w:rPr>
        <w:t xml:space="preserve"> of Feb – 2</w:t>
      </w:r>
      <w:r w:rsidR="00A244CB" w:rsidRPr="00E06A92">
        <w:rPr>
          <w:sz w:val="24"/>
          <w:szCs w:val="24"/>
          <w:vertAlign w:val="superscript"/>
        </w:rPr>
        <w:t>nd</w:t>
      </w:r>
      <w:r w:rsidR="00A244CB" w:rsidRPr="00E06A92">
        <w:rPr>
          <w:sz w:val="24"/>
          <w:szCs w:val="24"/>
        </w:rPr>
        <w:t xml:space="preserve"> of April) and repeatedly re-circulated/ promoted during that time. </w:t>
      </w:r>
      <w:r w:rsidR="00A244CB" w:rsidRPr="00E06A92">
        <w:rPr>
          <w:sz w:val="24"/>
          <w:szCs w:val="24"/>
        </w:rPr>
        <w:lastRenderedPageBreak/>
        <w:t>Six people responded over the course of the survey. 3 respondents reported own lived experience of using drugs and alcohol, one of previous problematic substance use by a family member.</w:t>
      </w:r>
    </w:p>
    <w:p w14:paraId="11745624" w14:textId="7EA122C1" w:rsidR="00A244CB" w:rsidRPr="00E06A92" w:rsidRDefault="0088271F" w:rsidP="00E06A92">
      <w:pPr>
        <w:ind w:left="720" w:hanging="720"/>
        <w:rPr>
          <w:sz w:val="24"/>
          <w:szCs w:val="24"/>
        </w:rPr>
      </w:pPr>
      <w:r w:rsidRPr="008160B0">
        <w:rPr>
          <w:sz w:val="24"/>
          <w:szCs w:val="24"/>
        </w:rPr>
        <w:t>92</w:t>
      </w:r>
      <w:r w:rsidRPr="00E06A92">
        <w:rPr>
          <w:b/>
          <w:bCs/>
          <w:sz w:val="24"/>
          <w:szCs w:val="24"/>
        </w:rPr>
        <w:tab/>
      </w:r>
      <w:r w:rsidR="00A244CB" w:rsidRPr="00E06A92">
        <w:rPr>
          <w:b/>
          <w:bCs/>
          <w:sz w:val="24"/>
          <w:szCs w:val="24"/>
        </w:rPr>
        <w:t xml:space="preserve">Themed co-production meetings: </w:t>
      </w:r>
      <w:r w:rsidR="00A244CB" w:rsidRPr="00E06A92">
        <w:rPr>
          <w:sz w:val="24"/>
          <w:szCs w:val="24"/>
        </w:rPr>
        <w:t>These were a series of meetings with groups either coming to events that the ADP officers organised or ADP officers attending existing meetings.</w:t>
      </w:r>
    </w:p>
    <w:tbl>
      <w:tblPr>
        <w:tblStyle w:val="TableGrid"/>
        <w:tblW w:w="0" w:type="auto"/>
        <w:tblInd w:w="846" w:type="dxa"/>
        <w:tblLook w:val="04A0" w:firstRow="1" w:lastRow="0" w:firstColumn="1" w:lastColumn="0" w:noHBand="0" w:noVBand="1"/>
      </w:tblPr>
      <w:tblGrid>
        <w:gridCol w:w="6095"/>
        <w:gridCol w:w="2075"/>
      </w:tblGrid>
      <w:tr w:rsidR="00A244CB" w:rsidRPr="00C44B9C" w14:paraId="76EB5855" w14:textId="77777777" w:rsidTr="0088271F">
        <w:tc>
          <w:tcPr>
            <w:tcW w:w="6095" w:type="dxa"/>
            <w:shd w:val="clear" w:color="auto" w:fill="00B0F0"/>
          </w:tcPr>
          <w:p w14:paraId="37195AFA" w14:textId="77777777" w:rsidR="00A244CB" w:rsidRPr="00C44B9C" w:rsidRDefault="00A244CB" w:rsidP="008C346E">
            <w:pPr>
              <w:jc w:val="center"/>
              <w:rPr>
                <w:rFonts w:asciiTheme="minorHAnsi" w:hAnsiTheme="minorHAnsi" w:cstheme="minorHAnsi"/>
                <w:color w:val="FFFFFF" w:themeColor="background1"/>
                <w:sz w:val="24"/>
                <w:szCs w:val="24"/>
              </w:rPr>
            </w:pPr>
            <w:r w:rsidRPr="00C44B9C">
              <w:rPr>
                <w:rFonts w:asciiTheme="minorHAnsi" w:hAnsiTheme="minorHAnsi" w:cstheme="minorHAnsi"/>
                <w:color w:val="FFFFFF" w:themeColor="background1"/>
                <w:sz w:val="24"/>
                <w:szCs w:val="24"/>
              </w:rPr>
              <w:t>Theme</w:t>
            </w:r>
          </w:p>
        </w:tc>
        <w:tc>
          <w:tcPr>
            <w:tcW w:w="2075" w:type="dxa"/>
            <w:shd w:val="clear" w:color="auto" w:fill="00B0F0"/>
          </w:tcPr>
          <w:p w14:paraId="62C3EFA0" w14:textId="77777777" w:rsidR="00A244CB" w:rsidRPr="00C44B9C" w:rsidRDefault="00A244CB" w:rsidP="008C346E">
            <w:pPr>
              <w:jc w:val="center"/>
              <w:rPr>
                <w:rFonts w:asciiTheme="minorHAnsi" w:hAnsiTheme="minorHAnsi" w:cstheme="minorHAnsi"/>
                <w:color w:val="FFFFFF" w:themeColor="background1"/>
                <w:sz w:val="24"/>
                <w:szCs w:val="24"/>
              </w:rPr>
            </w:pPr>
            <w:r w:rsidRPr="00C44B9C">
              <w:rPr>
                <w:rFonts w:asciiTheme="minorHAnsi" w:hAnsiTheme="minorHAnsi" w:cstheme="minorHAnsi"/>
                <w:color w:val="FFFFFF" w:themeColor="background1"/>
                <w:sz w:val="24"/>
                <w:szCs w:val="24"/>
              </w:rPr>
              <w:t>No of participants</w:t>
            </w:r>
          </w:p>
          <w:p w14:paraId="11CCBFEB" w14:textId="77777777" w:rsidR="00A244CB" w:rsidRPr="00C44B9C" w:rsidRDefault="00A244CB" w:rsidP="008C346E">
            <w:pPr>
              <w:jc w:val="center"/>
              <w:rPr>
                <w:rFonts w:asciiTheme="minorHAnsi" w:hAnsiTheme="minorHAnsi" w:cstheme="minorHAnsi"/>
                <w:color w:val="FFFFFF" w:themeColor="background1"/>
                <w:sz w:val="24"/>
                <w:szCs w:val="24"/>
              </w:rPr>
            </w:pPr>
          </w:p>
        </w:tc>
      </w:tr>
      <w:tr w:rsidR="00A244CB" w:rsidRPr="00C44B9C" w14:paraId="2133E4F8" w14:textId="77777777" w:rsidTr="0088271F">
        <w:tc>
          <w:tcPr>
            <w:tcW w:w="6095" w:type="dxa"/>
          </w:tcPr>
          <w:p w14:paraId="3DA8BD66" w14:textId="77777777" w:rsidR="00A244CB" w:rsidRPr="00C44B9C" w:rsidRDefault="00A244CB" w:rsidP="008C346E">
            <w:pPr>
              <w:rPr>
                <w:rFonts w:asciiTheme="minorHAnsi" w:hAnsiTheme="minorHAnsi" w:cstheme="minorHAnsi"/>
                <w:sz w:val="24"/>
                <w:szCs w:val="24"/>
              </w:rPr>
            </w:pPr>
            <w:r w:rsidRPr="00C44B9C">
              <w:rPr>
                <w:rFonts w:asciiTheme="minorHAnsi" w:hAnsiTheme="minorHAnsi" w:cstheme="minorHAnsi"/>
                <w:sz w:val="24"/>
                <w:szCs w:val="24"/>
              </w:rPr>
              <w:t>Whole family approach collaborative</w:t>
            </w:r>
          </w:p>
        </w:tc>
        <w:tc>
          <w:tcPr>
            <w:tcW w:w="2075" w:type="dxa"/>
          </w:tcPr>
          <w:p w14:paraId="0D76CA19" w14:textId="77777777" w:rsidR="00A244CB" w:rsidRPr="00C44B9C" w:rsidRDefault="00A244CB" w:rsidP="008C346E">
            <w:pPr>
              <w:jc w:val="center"/>
              <w:rPr>
                <w:rFonts w:asciiTheme="minorHAnsi" w:hAnsiTheme="minorHAnsi" w:cstheme="minorHAnsi"/>
                <w:sz w:val="24"/>
                <w:szCs w:val="24"/>
              </w:rPr>
            </w:pPr>
            <w:r w:rsidRPr="00C44B9C">
              <w:rPr>
                <w:rFonts w:asciiTheme="minorHAnsi" w:hAnsiTheme="minorHAnsi" w:cstheme="minorHAnsi"/>
                <w:sz w:val="24"/>
                <w:szCs w:val="24"/>
              </w:rPr>
              <w:t>7</w:t>
            </w:r>
          </w:p>
        </w:tc>
      </w:tr>
      <w:tr w:rsidR="00A244CB" w:rsidRPr="00C44B9C" w14:paraId="3265B6CD" w14:textId="77777777" w:rsidTr="0088271F">
        <w:tc>
          <w:tcPr>
            <w:tcW w:w="6095" w:type="dxa"/>
          </w:tcPr>
          <w:p w14:paraId="5EE3C74C" w14:textId="77777777" w:rsidR="00A244CB" w:rsidRPr="00C44B9C" w:rsidRDefault="00A244CB" w:rsidP="008C346E">
            <w:pPr>
              <w:rPr>
                <w:rFonts w:asciiTheme="minorHAnsi" w:hAnsiTheme="minorHAnsi" w:cstheme="minorHAnsi"/>
                <w:sz w:val="24"/>
                <w:szCs w:val="24"/>
              </w:rPr>
            </w:pPr>
            <w:r w:rsidRPr="00C44B9C">
              <w:rPr>
                <w:rFonts w:asciiTheme="minorHAnsi" w:hAnsiTheme="minorHAnsi" w:cstheme="minorHAnsi"/>
                <w:sz w:val="24"/>
                <w:szCs w:val="24"/>
              </w:rPr>
              <w:t>Adult treatment and recovery collaborative</w:t>
            </w:r>
          </w:p>
        </w:tc>
        <w:tc>
          <w:tcPr>
            <w:tcW w:w="2075" w:type="dxa"/>
          </w:tcPr>
          <w:p w14:paraId="63619A34" w14:textId="77777777" w:rsidR="00A244CB" w:rsidRPr="00C44B9C" w:rsidRDefault="00A244CB" w:rsidP="008C346E">
            <w:pPr>
              <w:jc w:val="center"/>
              <w:rPr>
                <w:rFonts w:asciiTheme="minorHAnsi" w:hAnsiTheme="minorHAnsi" w:cstheme="minorHAnsi"/>
                <w:sz w:val="24"/>
                <w:szCs w:val="24"/>
              </w:rPr>
            </w:pPr>
            <w:r w:rsidRPr="00C44B9C">
              <w:rPr>
                <w:rFonts w:asciiTheme="minorHAnsi" w:hAnsiTheme="minorHAnsi" w:cstheme="minorHAnsi"/>
                <w:sz w:val="24"/>
                <w:szCs w:val="24"/>
              </w:rPr>
              <w:t>10</w:t>
            </w:r>
          </w:p>
        </w:tc>
      </w:tr>
      <w:tr w:rsidR="00A244CB" w:rsidRPr="00C44B9C" w14:paraId="33A25C0A" w14:textId="77777777" w:rsidTr="0088271F">
        <w:tc>
          <w:tcPr>
            <w:tcW w:w="6095" w:type="dxa"/>
          </w:tcPr>
          <w:p w14:paraId="03229E42" w14:textId="77777777" w:rsidR="00A244CB" w:rsidRPr="00C44B9C" w:rsidRDefault="00A244CB" w:rsidP="008C346E">
            <w:pPr>
              <w:rPr>
                <w:rFonts w:asciiTheme="minorHAnsi" w:hAnsiTheme="minorHAnsi" w:cstheme="minorHAnsi"/>
                <w:sz w:val="24"/>
                <w:szCs w:val="24"/>
              </w:rPr>
            </w:pPr>
            <w:r w:rsidRPr="00C44B9C">
              <w:rPr>
                <w:rFonts w:asciiTheme="minorHAnsi" w:hAnsiTheme="minorHAnsi" w:cstheme="minorHAnsi"/>
                <w:sz w:val="24"/>
                <w:szCs w:val="24"/>
              </w:rPr>
              <w:t xml:space="preserve">supportive communities  </w:t>
            </w:r>
          </w:p>
        </w:tc>
        <w:tc>
          <w:tcPr>
            <w:tcW w:w="2075" w:type="dxa"/>
          </w:tcPr>
          <w:p w14:paraId="621DFDE6" w14:textId="77777777" w:rsidR="00A244CB" w:rsidRPr="00C44B9C" w:rsidRDefault="00A244CB" w:rsidP="008C346E">
            <w:pPr>
              <w:jc w:val="center"/>
              <w:rPr>
                <w:rFonts w:asciiTheme="minorHAnsi" w:hAnsiTheme="minorHAnsi" w:cstheme="minorHAnsi"/>
                <w:sz w:val="24"/>
                <w:szCs w:val="24"/>
              </w:rPr>
            </w:pPr>
            <w:r w:rsidRPr="00C44B9C">
              <w:rPr>
                <w:rFonts w:asciiTheme="minorHAnsi" w:hAnsiTheme="minorHAnsi" w:cstheme="minorHAnsi"/>
                <w:sz w:val="24"/>
                <w:szCs w:val="24"/>
              </w:rPr>
              <w:t>4</w:t>
            </w:r>
          </w:p>
        </w:tc>
      </w:tr>
      <w:tr w:rsidR="00A244CB" w:rsidRPr="00C44B9C" w14:paraId="7A7FEF1F" w14:textId="77777777" w:rsidTr="0088271F">
        <w:tc>
          <w:tcPr>
            <w:tcW w:w="6095" w:type="dxa"/>
          </w:tcPr>
          <w:p w14:paraId="76B1C34C" w14:textId="77777777" w:rsidR="00A244CB" w:rsidRPr="00C44B9C" w:rsidRDefault="00A244CB" w:rsidP="008C346E">
            <w:pPr>
              <w:rPr>
                <w:rFonts w:asciiTheme="minorHAnsi" w:hAnsiTheme="minorHAnsi" w:cstheme="minorHAnsi"/>
                <w:sz w:val="24"/>
                <w:szCs w:val="24"/>
              </w:rPr>
            </w:pPr>
            <w:r w:rsidRPr="00C44B9C">
              <w:rPr>
                <w:rFonts w:asciiTheme="minorHAnsi" w:hAnsiTheme="minorHAnsi" w:cstheme="minorHAnsi"/>
                <w:sz w:val="24"/>
                <w:szCs w:val="24"/>
              </w:rPr>
              <w:t>support for people who are homeless and in temp/ supportive accommodation</w:t>
            </w:r>
          </w:p>
        </w:tc>
        <w:tc>
          <w:tcPr>
            <w:tcW w:w="2075" w:type="dxa"/>
          </w:tcPr>
          <w:p w14:paraId="1C9E2862" w14:textId="77777777" w:rsidR="00A244CB" w:rsidRPr="00C44B9C" w:rsidRDefault="00A244CB" w:rsidP="008C346E">
            <w:pPr>
              <w:jc w:val="center"/>
              <w:rPr>
                <w:rFonts w:asciiTheme="minorHAnsi" w:hAnsiTheme="minorHAnsi" w:cstheme="minorHAnsi"/>
                <w:sz w:val="24"/>
                <w:szCs w:val="24"/>
              </w:rPr>
            </w:pPr>
            <w:r w:rsidRPr="00C44B9C">
              <w:rPr>
                <w:rFonts w:asciiTheme="minorHAnsi" w:hAnsiTheme="minorHAnsi" w:cstheme="minorHAnsi"/>
                <w:sz w:val="24"/>
                <w:szCs w:val="24"/>
              </w:rPr>
              <w:t>4</w:t>
            </w:r>
          </w:p>
        </w:tc>
      </w:tr>
      <w:tr w:rsidR="00A244CB" w:rsidRPr="00C44B9C" w14:paraId="0DE95DF2" w14:textId="77777777" w:rsidTr="0088271F">
        <w:tc>
          <w:tcPr>
            <w:tcW w:w="6095" w:type="dxa"/>
          </w:tcPr>
          <w:p w14:paraId="190568F5" w14:textId="77777777" w:rsidR="00A244CB" w:rsidRPr="00C44B9C" w:rsidRDefault="00A244CB" w:rsidP="008C346E">
            <w:pPr>
              <w:rPr>
                <w:rFonts w:asciiTheme="minorHAnsi" w:hAnsiTheme="minorHAnsi" w:cstheme="minorHAnsi"/>
                <w:sz w:val="24"/>
                <w:szCs w:val="24"/>
              </w:rPr>
            </w:pPr>
            <w:r w:rsidRPr="00C44B9C">
              <w:rPr>
                <w:rFonts w:asciiTheme="minorHAnsi" w:hAnsiTheme="minorHAnsi" w:cstheme="minorHAnsi"/>
                <w:sz w:val="24"/>
                <w:szCs w:val="24"/>
              </w:rPr>
              <w:t>Whole family approaches</w:t>
            </w:r>
          </w:p>
        </w:tc>
        <w:tc>
          <w:tcPr>
            <w:tcW w:w="2075" w:type="dxa"/>
          </w:tcPr>
          <w:p w14:paraId="7F9839AB" w14:textId="77777777" w:rsidR="00A244CB" w:rsidRPr="00C44B9C" w:rsidRDefault="00A244CB" w:rsidP="008C346E">
            <w:pPr>
              <w:jc w:val="center"/>
              <w:rPr>
                <w:rFonts w:asciiTheme="minorHAnsi" w:hAnsiTheme="minorHAnsi" w:cstheme="minorHAnsi"/>
                <w:sz w:val="24"/>
                <w:szCs w:val="24"/>
              </w:rPr>
            </w:pPr>
            <w:r w:rsidRPr="00C44B9C">
              <w:rPr>
                <w:rFonts w:asciiTheme="minorHAnsi" w:hAnsiTheme="minorHAnsi" w:cstheme="minorHAnsi"/>
                <w:sz w:val="24"/>
                <w:szCs w:val="24"/>
              </w:rPr>
              <w:t>2</w:t>
            </w:r>
          </w:p>
        </w:tc>
      </w:tr>
      <w:tr w:rsidR="00A244CB" w:rsidRPr="00C44B9C" w14:paraId="75A29951" w14:textId="77777777" w:rsidTr="0088271F">
        <w:tc>
          <w:tcPr>
            <w:tcW w:w="6095" w:type="dxa"/>
          </w:tcPr>
          <w:p w14:paraId="4CC5B41A" w14:textId="77777777" w:rsidR="00A244CB" w:rsidRPr="00C44B9C" w:rsidRDefault="00A244CB" w:rsidP="008C346E">
            <w:pPr>
              <w:rPr>
                <w:rFonts w:asciiTheme="minorHAnsi" w:hAnsiTheme="minorHAnsi" w:cstheme="minorHAnsi"/>
                <w:sz w:val="24"/>
                <w:szCs w:val="24"/>
              </w:rPr>
            </w:pPr>
            <w:r w:rsidRPr="00C44B9C">
              <w:rPr>
                <w:rFonts w:asciiTheme="minorHAnsi" w:hAnsiTheme="minorHAnsi" w:cstheme="minorHAnsi"/>
                <w:sz w:val="24"/>
                <w:szCs w:val="24"/>
              </w:rPr>
              <w:t>support for families affected by substance use</w:t>
            </w:r>
          </w:p>
        </w:tc>
        <w:tc>
          <w:tcPr>
            <w:tcW w:w="2075" w:type="dxa"/>
          </w:tcPr>
          <w:p w14:paraId="579B2335" w14:textId="77777777" w:rsidR="00A244CB" w:rsidRPr="00C44B9C" w:rsidRDefault="00A244CB" w:rsidP="008C346E">
            <w:pPr>
              <w:jc w:val="center"/>
              <w:rPr>
                <w:rFonts w:asciiTheme="minorHAnsi" w:hAnsiTheme="minorHAnsi" w:cstheme="minorHAnsi"/>
                <w:sz w:val="24"/>
                <w:szCs w:val="24"/>
              </w:rPr>
            </w:pPr>
            <w:r w:rsidRPr="00C44B9C">
              <w:rPr>
                <w:rFonts w:asciiTheme="minorHAnsi" w:hAnsiTheme="minorHAnsi" w:cstheme="minorHAnsi"/>
                <w:sz w:val="24"/>
                <w:szCs w:val="24"/>
              </w:rPr>
              <w:t>2</w:t>
            </w:r>
          </w:p>
        </w:tc>
      </w:tr>
      <w:tr w:rsidR="00A244CB" w:rsidRPr="00C44B9C" w14:paraId="702DA500" w14:textId="77777777" w:rsidTr="0088271F">
        <w:tc>
          <w:tcPr>
            <w:tcW w:w="6095" w:type="dxa"/>
          </w:tcPr>
          <w:p w14:paraId="79E0BC4C" w14:textId="77777777" w:rsidR="00A244CB" w:rsidRPr="00C44B9C" w:rsidRDefault="00A244CB" w:rsidP="008C346E">
            <w:pPr>
              <w:rPr>
                <w:rFonts w:asciiTheme="minorHAnsi" w:hAnsiTheme="minorHAnsi" w:cstheme="minorHAnsi"/>
                <w:sz w:val="24"/>
                <w:szCs w:val="24"/>
              </w:rPr>
            </w:pPr>
            <w:r w:rsidRPr="00C44B9C">
              <w:rPr>
                <w:rFonts w:asciiTheme="minorHAnsi" w:hAnsiTheme="minorHAnsi" w:cstheme="minorHAnsi"/>
                <w:sz w:val="24"/>
                <w:szCs w:val="24"/>
              </w:rPr>
              <w:t>CAPSU</w:t>
            </w:r>
          </w:p>
        </w:tc>
        <w:tc>
          <w:tcPr>
            <w:tcW w:w="2075" w:type="dxa"/>
          </w:tcPr>
          <w:p w14:paraId="3DA4A3D3" w14:textId="77777777" w:rsidR="00A244CB" w:rsidRPr="00C44B9C" w:rsidRDefault="00A244CB" w:rsidP="008C346E">
            <w:pPr>
              <w:jc w:val="center"/>
              <w:rPr>
                <w:rFonts w:asciiTheme="minorHAnsi" w:hAnsiTheme="minorHAnsi" w:cstheme="minorHAnsi"/>
                <w:sz w:val="24"/>
                <w:szCs w:val="24"/>
              </w:rPr>
            </w:pPr>
            <w:r w:rsidRPr="00C44B9C">
              <w:rPr>
                <w:rFonts w:asciiTheme="minorHAnsi" w:hAnsiTheme="minorHAnsi" w:cstheme="minorHAnsi"/>
                <w:sz w:val="24"/>
                <w:szCs w:val="24"/>
              </w:rPr>
              <w:t>21</w:t>
            </w:r>
          </w:p>
        </w:tc>
      </w:tr>
      <w:tr w:rsidR="00A244CB" w:rsidRPr="00C44B9C" w14:paraId="774FFC69" w14:textId="77777777" w:rsidTr="0088271F">
        <w:tc>
          <w:tcPr>
            <w:tcW w:w="6095" w:type="dxa"/>
          </w:tcPr>
          <w:p w14:paraId="221FD88E" w14:textId="77777777" w:rsidR="00A244CB" w:rsidRPr="00C44B9C" w:rsidRDefault="00A244CB" w:rsidP="008C346E">
            <w:pPr>
              <w:rPr>
                <w:rFonts w:asciiTheme="minorHAnsi" w:hAnsiTheme="minorHAnsi" w:cstheme="minorHAnsi"/>
                <w:sz w:val="24"/>
                <w:szCs w:val="24"/>
              </w:rPr>
            </w:pPr>
            <w:r w:rsidRPr="00C44B9C">
              <w:rPr>
                <w:rFonts w:asciiTheme="minorHAnsi" w:hAnsiTheme="minorHAnsi" w:cstheme="minorHAnsi"/>
                <w:sz w:val="24"/>
                <w:szCs w:val="24"/>
              </w:rPr>
              <w:t>Practitioners in young people’s substance use services</w:t>
            </w:r>
          </w:p>
        </w:tc>
        <w:tc>
          <w:tcPr>
            <w:tcW w:w="2075" w:type="dxa"/>
          </w:tcPr>
          <w:p w14:paraId="3AC37443" w14:textId="77777777" w:rsidR="00A244CB" w:rsidRPr="00C44B9C" w:rsidRDefault="00A244CB" w:rsidP="008C346E">
            <w:pPr>
              <w:jc w:val="center"/>
              <w:rPr>
                <w:rFonts w:asciiTheme="minorHAnsi" w:hAnsiTheme="minorHAnsi" w:cstheme="minorHAnsi"/>
                <w:sz w:val="24"/>
                <w:szCs w:val="24"/>
              </w:rPr>
            </w:pPr>
            <w:r w:rsidRPr="00C44B9C">
              <w:rPr>
                <w:rFonts w:asciiTheme="minorHAnsi" w:hAnsiTheme="minorHAnsi" w:cstheme="minorHAnsi"/>
                <w:sz w:val="24"/>
                <w:szCs w:val="24"/>
              </w:rPr>
              <w:t>4</w:t>
            </w:r>
          </w:p>
        </w:tc>
      </w:tr>
    </w:tbl>
    <w:p w14:paraId="7E76A9D7" w14:textId="77777777" w:rsidR="0088271F" w:rsidRDefault="0088271F" w:rsidP="00A244CB">
      <w:pPr>
        <w:rPr>
          <w:rFonts w:cstheme="minorHAnsi"/>
          <w:sz w:val="24"/>
          <w:szCs w:val="24"/>
        </w:rPr>
      </w:pPr>
    </w:p>
    <w:p w14:paraId="529352B0" w14:textId="07951C98" w:rsidR="00A244CB" w:rsidRPr="00C44B9C" w:rsidRDefault="00A244CB" w:rsidP="0088271F">
      <w:pPr>
        <w:ind w:left="720"/>
        <w:rPr>
          <w:rFonts w:cstheme="minorHAnsi"/>
          <w:sz w:val="24"/>
          <w:szCs w:val="24"/>
        </w:rPr>
      </w:pPr>
      <w:r w:rsidRPr="00C44B9C">
        <w:rPr>
          <w:rFonts w:cstheme="minorHAnsi"/>
          <w:sz w:val="24"/>
          <w:szCs w:val="24"/>
        </w:rPr>
        <w:t>In total 54 participants, mostly professionals from such fields as treatment, FASD policy, supported housing, children and families social work, care of children affected by parental substance use attended.</w:t>
      </w:r>
    </w:p>
    <w:p w14:paraId="0657D337" w14:textId="4E3FD5CE" w:rsidR="00A244CB" w:rsidRPr="00C44B9C" w:rsidRDefault="00E06A92" w:rsidP="0088271F">
      <w:pPr>
        <w:ind w:left="720" w:hanging="720"/>
        <w:rPr>
          <w:rFonts w:cstheme="minorHAnsi"/>
          <w:sz w:val="24"/>
          <w:szCs w:val="24"/>
        </w:rPr>
      </w:pPr>
      <w:r w:rsidRPr="008160B0">
        <w:rPr>
          <w:rFonts w:cstheme="minorHAnsi"/>
          <w:sz w:val="24"/>
          <w:szCs w:val="24"/>
        </w:rPr>
        <w:t>9</w:t>
      </w:r>
      <w:r w:rsidR="0088271F" w:rsidRPr="008160B0">
        <w:rPr>
          <w:rFonts w:cstheme="minorHAnsi"/>
          <w:sz w:val="24"/>
          <w:szCs w:val="24"/>
        </w:rPr>
        <w:t>3</w:t>
      </w:r>
      <w:r w:rsidR="0088271F">
        <w:rPr>
          <w:rFonts w:cstheme="minorHAnsi"/>
          <w:b/>
          <w:bCs/>
          <w:sz w:val="24"/>
          <w:szCs w:val="24"/>
        </w:rPr>
        <w:t>.</w:t>
      </w:r>
      <w:r w:rsidR="0088271F">
        <w:rPr>
          <w:rFonts w:cstheme="minorHAnsi"/>
          <w:b/>
          <w:bCs/>
          <w:sz w:val="24"/>
          <w:szCs w:val="24"/>
        </w:rPr>
        <w:tab/>
      </w:r>
      <w:r w:rsidR="00A244CB" w:rsidRPr="00C44B9C">
        <w:rPr>
          <w:rFonts w:cstheme="minorHAnsi"/>
          <w:b/>
          <w:bCs/>
          <w:sz w:val="24"/>
          <w:szCs w:val="24"/>
        </w:rPr>
        <w:t xml:space="preserve">Incorporating findings from Lived and living experience engagement activities: </w:t>
      </w:r>
      <w:r w:rsidR="00A244CB" w:rsidRPr="00C44B9C">
        <w:rPr>
          <w:rFonts w:cstheme="minorHAnsi"/>
          <w:sz w:val="24"/>
          <w:szCs w:val="24"/>
        </w:rPr>
        <w:t xml:space="preserve">Although an offer to attend lived and living experience/ collective advocacy groups was extended, only one group took this up - Parental Advocacy and Rights - </w:t>
      </w:r>
      <w:r w:rsidR="0088271F" w:rsidRPr="00C44B9C">
        <w:rPr>
          <w:rFonts w:cstheme="minorHAnsi"/>
          <w:sz w:val="24"/>
          <w:szCs w:val="24"/>
        </w:rPr>
        <w:t>mutual</w:t>
      </w:r>
      <w:r w:rsidR="00A244CB" w:rsidRPr="00C44B9C">
        <w:rPr>
          <w:rFonts w:cstheme="minorHAnsi"/>
          <w:sz w:val="24"/>
          <w:szCs w:val="24"/>
        </w:rPr>
        <w:t xml:space="preserve"> aid group for 7 women with lived and living experience of substance use, </w:t>
      </w:r>
      <w:r w:rsidR="00BF4E15" w:rsidRPr="00C44B9C">
        <w:rPr>
          <w:rFonts w:cstheme="minorHAnsi"/>
          <w:sz w:val="24"/>
          <w:szCs w:val="24"/>
        </w:rPr>
        <w:t>recovery,</w:t>
      </w:r>
      <w:r w:rsidR="00A244CB" w:rsidRPr="00C44B9C">
        <w:rPr>
          <w:rFonts w:cstheme="minorHAnsi"/>
          <w:sz w:val="24"/>
          <w:szCs w:val="24"/>
        </w:rPr>
        <w:t xml:space="preserve"> and motherhood. 1 individual interview was also conducted</w:t>
      </w:r>
      <w:bookmarkStart w:id="45" w:name="_Hlk163563919"/>
      <w:r w:rsidR="00BF4E15" w:rsidRPr="00C44B9C">
        <w:rPr>
          <w:rFonts w:cstheme="minorHAnsi"/>
          <w:sz w:val="24"/>
          <w:szCs w:val="24"/>
        </w:rPr>
        <w:t>.</w:t>
      </w:r>
      <w:r w:rsidR="00BF4E15">
        <w:rPr>
          <w:rFonts w:cstheme="minorHAnsi"/>
          <w:sz w:val="24"/>
          <w:szCs w:val="24"/>
        </w:rPr>
        <w:t xml:space="preserve"> </w:t>
      </w:r>
      <w:r w:rsidR="00A244CB" w:rsidRPr="00C44B9C">
        <w:rPr>
          <w:rFonts w:cstheme="minorHAnsi"/>
          <w:sz w:val="24"/>
          <w:szCs w:val="24"/>
        </w:rPr>
        <w:t>Material from three additional sources of lived experience information was incorporated into the draft strategy</w:t>
      </w:r>
    </w:p>
    <w:p w14:paraId="724E977B" w14:textId="77777777" w:rsidR="00A244CB" w:rsidRPr="00C44B9C" w:rsidRDefault="00A244CB" w:rsidP="002A7CD6">
      <w:pPr>
        <w:pStyle w:val="ListParagraph"/>
        <w:numPr>
          <w:ilvl w:val="0"/>
          <w:numId w:val="10"/>
        </w:numPr>
        <w:rPr>
          <w:rFonts w:cstheme="minorHAnsi"/>
          <w:sz w:val="24"/>
          <w:szCs w:val="24"/>
        </w:rPr>
      </w:pPr>
      <w:r w:rsidRPr="00C44B9C">
        <w:rPr>
          <w:rFonts w:cstheme="minorHAnsi"/>
          <w:sz w:val="24"/>
          <w:szCs w:val="24"/>
        </w:rPr>
        <w:t xml:space="preserve">Feasibility studies for Safer Drug Consumption Facilities and Drug Checking services (see below) interviewed 39 people with lived and living experience and 9 family members. </w:t>
      </w:r>
    </w:p>
    <w:p w14:paraId="4C1633DB" w14:textId="77777777" w:rsidR="00A244CB" w:rsidRPr="00C44B9C" w:rsidRDefault="00A244CB" w:rsidP="002A7CD6">
      <w:pPr>
        <w:pStyle w:val="ListParagraph"/>
        <w:numPr>
          <w:ilvl w:val="0"/>
          <w:numId w:val="10"/>
        </w:numPr>
        <w:rPr>
          <w:rFonts w:cstheme="minorHAnsi"/>
          <w:sz w:val="24"/>
          <w:szCs w:val="24"/>
        </w:rPr>
      </w:pPr>
      <w:r w:rsidRPr="00C44B9C">
        <w:rPr>
          <w:rFonts w:cstheme="minorHAnsi"/>
          <w:sz w:val="24"/>
          <w:szCs w:val="24"/>
        </w:rPr>
        <w:t>The development process for the lived and living experience panel involved focus groups with around 80 participants from a mix of open advertised meetings and existing groups. This generated a range of insights that were incorporated into the draft strategy</w:t>
      </w:r>
    </w:p>
    <w:p w14:paraId="0AD0413D" w14:textId="77777777" w:rsidR="00A244CB" w:rsidRPr="00C44B9C" w:rsidRDefault="00A244CB" w:rsidP="002A7CD6">
      <w:pPr>
        <w:pStyle w:val="ListParagraph"/>
        <w:numPr>
          <w:ilvl w:val="0"/>
          <w:numId w:val="10"/>
        </w:numPr>
        <w:spacing w:after="0" w:line="240" w:lineRule="auto"/>
        <w:rPr>
          <w:rFonts w:cstheme="minorHAnsi"/>
          <w:b/>
          <w:bCs/>
          <w:sz w:val="24"/>
          <w:szCs w:val="24"/>
        </w:rPr>
      </w:pPr>
      <w:r w:rsidRPr="00C44B9C">
        <w:rPr>
          <w:rFonts w:cstheme="minorHAnsi"/>
          <w:sz w:val="24"/>
          <w:szCs w:val="24"/>
        </w:rPr>
        <w:t xml:space="preserve">MAT standards experiential engagement involved peer research with people attending all the main treatment Hubs - 47 surveys were completed. 5 families contributed to a survey focussed on their experiences of treatment access. </w:t>
      </w:r>
      <w:bookmarkEnd w:id="45"/>
      <w:r w:rsidRPr="00C44B9C">
        <w:rPr>
          <w:rFonts w:cstheme="minorHAnsi"/>
          <w:sz w:val="24"/>
          <w:szCs w:val="24"/>
        </w:rPr>
        <w:t xml:space="preserve">A very wide range of professionals were also interviewed as part of this process. </w:t>
      </w:r>
    </w:p>
    <w:p w14:paraId="72636B1E" w14:textId="77777777" w:rsidR="00A244CB" w:rsidRPr="00C44B9C" w:rsidRDefault="00A244CB" w:rsidP="00A244CB">
      <w:pPr>
        <w:spacing w:after="0" w:line="240" w:lineRule="auto"/>
        <w:rPr>
          <w:rFonts w:cstheme="minorHAnsi"/>
          <w:b/>
          <w:bCs/>
          <w:sz w:val="24"/>
          <w:szCs w:val="24"/>
        </w:rPr>
      </w:pPr>
    </w:p>
    <w:p w14:paraId="12B5EFD1" w14:textId="3DBEE130" w:rsidR="00A244CB" w:rsidRPr="00C44B9C" w:rsidRDefault="00E06A92" w:rsidP="0088271F">
      <w:pPr>
        <w:spacing w:after="0" w:line="240" w:lineRule="auto"/>
        <w:ind w:left="720" w:hanging="720"/>
        <w:rPr>
          <w:rFonts w:cstheme="minorHAnsi"/>
          <w:sz w:val="24"/>
          <w:szCs w:val="24"/>
        </w:rPr>
      </w:pPr>
      <w:r>
        <w:rPr>
          <w:rFonts w:cstheme="minorHAnsi"/>
          <w:sz w:val="24"/>
          <w:szCs w:val="24"/>
        </w:rPr>
        <w:lastRenderedPageBreak/>
        <w:t>9</w:t>
      </w:r>
      <w:r w:rsidR="0088271F" w:rsidRPr="0088271F">
        <w:rPr>
          <w:rFonts w:cstheme="minorHAnsi"/>
          <w:sz w:val="24"/>
          <w:szCs w:val="24"/>
        </w:rPr>
        <w:t>4.</w:t>
      </w:r>
      <w:r w:rsidR="0088271F">
        <w:rPr>
          <w:rFonts w:cstheme="minorHAnsi"/>
          <w:b/>
          <w:bCs/>
          <w:sz w:val="24"/>
          <w:szCs w:val="24"/>
        </w:rPr>
        <w:tab/>
      </w:r>
      <w:r w:rsidR="00A244CB" w:rsidRPr="00C44B9C">
        <w:rPr>
          <w:rFonts w:cstheme="minorHAnsi"/>
          <w:b/>
          <w:bCs/>
          <w:sz w:val="24"/>
          <w:szCs w:val="24"/>
        </w:rPr>
        <w:t>EADP Stakeholder conference</w:t>
      </w:r>
      <w:r w:rsidR="0088271F">
        <w:rPr>
          <w:rFonts w:cstheme="minorHAnsi"/>
          <w:b/>
          <w:bCs/>
          <w:sz w:val="24"/>
          <w:szCs w:val="24"/>
        </w:rPr>
        <w:t xml:space="preserve">s 6 October 2023 </w:t>
      </w:r>
      <w:r w:rsidR="00BF4E15">
        <w:rPr>
          <w:rFonts w:cstheme="minorHAnsi"/>
          <w:b/>
          <w:bCs/>
          <w:sz w:val="24"/>
          <w:szCs w:val="24"/>
        </w:rPr>
        <w:t xml:space="preserve">and </w:t>
      </w:r>
      <w:r w:rsidR="00BF4E15" w:rsidRPr="00C44B9C">
        <w:rPr>
          <w:rFonts w:cstheme="minorHAnsi"/>
          <w:b/>
          <w:bCs/>
          <w:sz w:val="24"/>
          <w:szCs w:val="24"/>
        </w:rPr>
        <w:t>21</w:t>
      </w:r>
      <w:r w:rsidR="00A244CB" w:rsidRPr="00C44B9C">
        <w:rPr>
          <w:rFonts w:cstheme="minorHAnsi"/>
          <w:b/>
          <w:bCs/>
          <w:sz w:val="24"/>
          <w:szCs w:val="24"/>
        </w:rPr>
        <w:t xml:space="preserve"> March 2024: </w:t>
      </w:r>
      <w:r w:rsidR="0088271F">
        <w:rPr>
          <w:rFonts w:cstheme="minorHAnsi"/>
          <w:sz w:val="24"/>
          <w:szCs w:val="24"/>
        </w:rPr>
        <w:t xml:space="preserve">The successful stakeholder events comprised of presentations and </w:t>
      </w:r>
      <w:r w:rsidR="00A244CB" w:rsidRPr="00C44B9C">
        <w:rPr>
          <w:rFonts w:cstheme="minorHAnsi"/>
          <w:sz w:val="24"/>
          <w:szCs w:val="24"/>
        </w:rPr>
        <w:t xml:space="preserve">series </w:t>
      </w:r>
      <w:r w:rsidR="0088271F">
        <w:rPr>
          <w:rFonts w:cstheme="minorHAnsi"/>
          <w:sz w:val="24"/>
          <w:szCs w:val="24"/>
        </w:rPr>
        <w:t>of</w:t>
      </w:r>
      <w:r w:rsidR="00A244CB" w:rsidRPr="00C44B9C">
        <w:rPr>
          <w:rFonts w:cstheme="minorHAnsi"/>
          <w:sz w:val="24"/>
          <w:szCs w:val="24"/>
        </w:rPr>
        <w:t xml:space="preserve"> discussions in small mixed groups</w:t>
      </w:r>
      <w:r w:rsidR="00FD75D7" w:rsidRPr="00C44B9C">
        <w:rPr>
          <w:rFonts w:cstheme="minorHAnsi"/>
          <w:sz w:val="24"/>
          <w:szCs w:val="24"/>
        </w:rPr>
        <w:t>.</w:t>
      </w:r>
    </w:p>
    <w:p w14:paraId="462FF754" w14:textId="77777777" w:rsidR="00FD75D7" w:rsidRPr="00C44B9C" w:rsidRDefault="00FD75D7" w:rsidP="00FD75D7">
      <w:pPr>
        <w:spacing w:after="0" w:line="240" w:lineRule="auto"/>
        <w:rPr>
          <w:rFonts w:cstheme="minorHAnsi"/>
          <w:sz w:val="24"/>
          <w:szCs w:val="24"/>
        </w:rPr>
      </w:pPr>
    </w:p>
    <w:p w14:paraId="3023B1A7" w14:textId="48E1B03C" w:rsidR="00A244CB" w:rsidRPr="0088271F" w:rsidRDefault="0088271F" w:rsidP="00A244CB">
      <w:pPr>
        <w:pStyle w:val="Title"/>
        <w:rPr>
          <w:rFonts w:asciiTheme="minorHAnsi" w:hAnsiTheme="minorHAnsi" w:cstheme="minorHAnsi"/>
          <w:b/>
          <w:bCs/>
          <w:color w:val="4472C4" w:themeColor="accent1"/>
          <w:sz w:val="32"/>
          <w:szCs w:val="32"/>
        </w:rPr>
      </w:pPr>
      <w:bookmarkStart w:id="46" w:name="_Toc174006768"/>
      <w:r>
        <w:rPr>
          <w:rFonts w:asciiTheme="minorHAnsi" w:hAnsiTheme="minorHAnsi" w:cstheme="minorHAnsi"/>
          <w:b/>
          <w:bCs/>
          <w:color w:val="4472C4" w:themeColor="accent1"/>
          <w:sz w:val="32"/>
          <w:szCs w:val="32"/>
        </w:rPr>
        <w:t>Finances</w:t>
      </w:r>
      <w:bookmarkEnd w:id="46"/>
    </w:p>
    <w:p w14:paraId="41DEC734" w14:textId="4DDD7BDB" w:rsidR="000F1F69" w:rsidRDefault="00E06A92" w:rsidP="000F1F69">
      <w:pPr>
        <w:ind w:left="720" w:hanging="720"/>
        <w:rPr>
          <w:rFonts w:cstheme="minorHAnsi"/>
          <w:sz w:val="24"/>
          <w:szCs w:val="24"/>
        </w:rPr>
      </w:pPr>
      <w:r>
        <w:rPr>
          <w:rFonts w:cstheme="minorHAnsi"/>
          <w:sz w:val="24"/>
          <w:szCs w:val="24"/>
        </w:rPr>
        <w:t>9</w:t>
      </w:r>
      <w:r w:rsidR="008160B0">
        <w:rPr>
          <w:rFonts w:cstheme="minorHAnsi"/>
          <w:sz w:val="24"/>
          <w:szCs w:val="24"/>
        </w:rPr>
        <w:t>5</w:t>
      </w:r>
      <w:r w:rsidR="0088271F">
        <w:rPr>
          <w:rFonts w:cstheme="minorHAnsi"/>
          <w:sz w:val="24"/>
          <w:szCs w:val="24"/>
        </w:rPr>
        <w:t>.</w:t>
      </w:r>
      <w:r w:rsidR="0088271F">
        <w:rPr>
          <w:rFonts w:cstheme="minorHAnsi"/>
          <w:sz w:val="24"/>
          <w:szCs w:val="24"/>
        </w:rPr>
        <w:tab/>
      </w:r>
      <w:r w:rsidR="002A7CD6" w:rsidRPr="00C44B9C">
        <w:rPr>
          <w:rFonts w:cstheme="minorHAnsi"/>
          <w:sz w:val="24"/>
          <w:szCs w:val="24"/>
        </w:rPr>
        <w:t xml:space="preserve">The </w:t>
      </w:r>
      <w:r w:rsidR="0088271F">
        <w:rPr>
          <w:rFonts w:cstheme="minorHAnsi"/>
          <w:sz w:val="24"/>
          <w:szCs w:val="24"/>
        </w:rPr>
        <w:t>E</w:t>
      </w:r>
      <w:r w:rsidR="002A7CD6" w:rsidRPr="00C44B9C">
        <w:rPr>
          <w:rFonts w:cstheme="minorHAnsi"/>
          <w:sz w:val="24"/>
          <w:szCs w:val="24"/>
        </w:rPr>
        <w:t>ADP opening reserve balance on 1 April 2023 was £2.79m. There was an in-year allocation of £9.68m which was made up from two funding sources, £5.07m baseline funding from NHS Lothian and City of Edinburgh Council and £4.61m additional funding from Scottish Government.</w:t>
      </w:r>
    </w:p>
    <w:p w14:paraId="63E273A7" w14:textId="41FDD760" w:rsidR="000F1F69" w:rsidRDefault="00E06A92" w:rsidP="000F1F69">
      <w:pPr>
        <w:ind w:left="720" w:hanging="720"/>
        <w:rPr>
          <w:rFonts w:cstheme="minorHAnsi"/>
          <w:sz w:val="24"/>
          <w:szCs w:val="24"/>
        </w:rPr>
      </w:pPr>
      <w:r>
        <w:rPr>
          <w:rFonts w:cstheme="minorHAnsi"/>
          <w:sz w:val="24"/>
          <w:szCs w:val="24"/>
        </w:rPr>
        <w:t>9</w:t>
      </w:r>
      <w:r w:rsidR="008160B0">
        <w:rPr>
          <w:rFonts w:cstheme="minorHAnsi"/>
          <w:sz w:val="24"/>
          <w:szCs w:val="24"/>
        </w:rPr>
        <w:t>6</w:t>
      </w:r>
      <w:r w:rsidR="000F1F69">
        <w:rPr>
          <w:rFonts w:cstheme="minorHAnsi"/>
          <w:sz w:val="24"/>
          <w:szCs w:val="24"/>
        </w:rPr>
        <w:t>.</w:t>
      </w:r>
      <w:r w:rsidR="000F1F69">
        <w:rPr>
          <w:rFonts w:cstheme="minorHAnsi"/>
          <w:sz w:val="24"/>
          <w:szCs w:val="24"/>
        </w:rPr>
        <w:tab/>
      </w:r>
      <w:r w:rsidR="002A7CD6" w:rsidRPr="00C44B9C">
        <w:rPr>
          <w:rFonts w:cstheme="minorHAnsi"/>
          <w:sz w:val="24"/>
          <w:szCs w:val="24"/>
        </w:rPr>
        <w:t xml:space="preserve">Overall, the total funding for the ADP in </w:t>
      </w:r>
      <w:r w:rsidR="000F1F69">
        <w:rPr>
          <w:rFonts w:cstheme="minorHAnsi"/>
          <w:sz w:val="24"/>
          <w:szCs w:val="24"/>
        </w:rPr>
        <w:t>20</w:t>
      </w:r>
      <w:r w:rsidR="002A7CD6" w:rsidRPr="00C44B9C">
        <w:rPr>
          <w:rFonts w:cstheme="minorHAnsi"/>
          <w:sz w:val="24"/>
          <w:szCs w:val="24"/>
        </w:rPr>
        <w:t xml:space="preserve">23/24 was £12.47m. During the </w:t>
      </w:r>
      <w:r w:rsidR="00BF4E15" w:rsidRPr="00C44B9C">
        <w:rPr>
          <w:rFonts w:cstheme="minorHAnsi"/>
          <w:sz w:val="24"/>
          <w:szCs w:val="24"/>
        </w:rPr>
        <w:t>year,</w:t>
      </w:r>
      <w:r w:rsidR="002A7CD6" w:rsidRPr="00C44B9C">
        <w:rPr>
          <w:rFonts w:cstheme="minorHAnsi"/>
          <w:sz w:val="24"/>
          <w:szCs w:val="24"/>
        </w:rPr>
        <w:t xml:space="preserve"> the total spend was £10.89m, of which £8.27m was committed as recurring expenditure and £2.62m was non-recurring expenditure. </w:t>
      </w:r>
    </w:p>
    <w:p w14:paraId="47684162" w14:textId="323F0EFB" w:rsidR="002A7CD6" w:rsidRPr="00C44B9C" w:rsidRDefault="00E06A92" w:rsidP="002A7CD6">
      <w:pPr>
        <w:rPr>
          <w:rFonts w:cstheme="minorHAnsi"/>
          <w:sz w:val="24"/>
          <w:szCs w:val="24"/>
        </w:rPr>
      </w:pPr>
      <w:r>
        <w:rPr>
          <w:rFonts w:cstheme="minorHAnsi"/>
          <w:sz w:val="24"/>
          <w:szCs w:val="24"/>
        </w:rPr>
        <w:t>9</w:t>
      </w:r>
      <w:r w:rsidR="008160B0">
        <w:rPr>
          <w:rFonts w:cstheme="minorHAnsi"/>
          <w:sz w:val="24"/>
          <w:szCs w:val="24"/>
        </w:rPr>
        <w:t>7</w:t>
      </w:r>
      <w:r w:rsidR="000F1F69">
        <w:rPr>
          <w:rFonts w:cstheme="minorHAnsi"/>
          <w:sz w:val="24"/>
          <w:szCs w:val="24"/>
        </w:rPr>
        <w:t>.</w:t>
      </w:r>
      <w:r w:rsidR="000F1F69">
        <w:rPr>
          <w:rFonts w:cstheme="minorHAnsi"/>
          <w:sz w:val="24"/>
          <w:szCs w:val="24"/>
        </w:rPr>
        <w:tab/>
        <w:t>T</w:t>
      </w:r>
      <w:r w:rsidR="002A7CD6" w:rsidRPr="00C44B9C">
        <w:rPr>
          <w:rFonts w:cstheme="minorHAnsi"/>
          <w:sz w:val="24"/>
          <w:szCs w:val="24"/>
        </w:rPr>
        <w:t xml:space="preserve">he ADP reserve balance </w:t>
      </w:r>
      <w:r w:rsidR="00BF4E15" w:rsidRPr="00C44B9C">
        <w:rPr>
          <w:rFonts w:cstheme="minorHAnsi"/>
          <w:sz w:val="24"/>
          <w:szCs w:val="24"/>
        </w:rPr>
        <w:t>on</w:t>
      </w:r>
      <w:r w:rsidR="002A7CD6" w:rsidRPr="00C44B9C">
        <w:rPr>
          <w:rFonts w:cstheme="minorHAnsi"/>
          <w:sz w:val="24"/>
          <w:szCs w:val="24"/>
        </w:rPr>
        <w:t xml:space="preserve"> 31</w:t>
      </w:r>
      <w:r w:rsidR="002A7CD6" w:rsidRPr="00C44B9C">
        <w:rPr>
          <w:rFonts w:cstheme="minorHAnsi"/>
          <w:sz w:val="24"/>
          <w:szCs w:val="24"/>
          <w:vertAlign w:val="superscript"/>
        </w:rPr>
        <w:t>st</w:t>
      </w:r>
      <w:r w:rsidR="002A7CD6" w:rsidRPr="00C44B9C">
        <w:rPr>
          <w:rFonts w:cstheme="minorHAnsi"/>
          <w:sz w:val="24"/>
          <w:szCs w:val="24"/>
        </w:rPr>
        <w:t xml:space="preserve"> March 2024 was £1.58m.</w:t>
      </w:r>
    </w:p>
    <w:p w14:paraId="6C376CBF" w14:textId="56AAA559" w:rsidR="001064DB" w:rsidRDefault="008160B0" w:rsidP="000F1F69">
      <w:pPr>
        <w:ind w:left="720" w:hanging="720"/>
        <w:rPr>
          <w:rFonts w:cstheme="minorHAnsi"/>
          <w:sz w:val="24"/>
          <w:szCs w:val="24"/>
        </w:rPr>
      </w:pPr>
      <w:r>
        <w:rPr>
          <w:rFonts w:cstheme="minorHAnsi"/>
          <w:sz w:val="24"/>
          <w:szCs w:val="24"/>
        </w:rPr>
        <w:t>98</w:t>
      </w:r>
      <w:r w:rsidR="000F1F69">
        <w:rPr>
          <w:rFonts w:cstheme="minorHAnsi"/>
          <w:sz w:val="24"/>
          <w:szCs w:val="24"/>
        </w:rPr>
        <w:t>.</w:t>
      </w:r>
      <w:r w:rsidR="000F1F69">
        <w:rPr>
          <w:rFonts w:cstheme="minorHAnsi"/>
          <w:sz w:val="24"/>
          <w:szCs w:val="24"/>
        </w:rPr>
        <w:tab/>
      </w:r>
      <w:r w:rsidR="001064DB" w:rsidRPr="00C44B9C">
        <w:rPr>
          <w:rFonts w:cstheme="minorHAnsi"/>
          <w:sz w:val="24"/>
          <w:szCs w:val="24"/>
        </w:rPr>
        <w:t>The table below describes the spending of EADP’s 2023-24 funding allocations by category of activity.</w:t>
      </w:r>
    </w:p>
    <w:p w14:paraId="2589D8AE" w14:textId="77777777" w:rsidR="008E3EE2" w:rsidRPr="00C44B9C" w:rsidRDefault="008E3EE2" w:rsidP="000F1F69">
      <w:pPr>
        <w:ind w:left="720" w:hanging="720"/>
        <w:rPr>
          <w:rFonts w:cstheme="minorHAnsi"/>
          <w:sz w:val="24"/>
          <w:szCs w:val="24"/>
        </w:rPr>
      </w:pPr>
    </w:p>
    <w:tbl>
      <w:tblPr>
        <w:tblStyle w:val="TableGrid"/>
        <w:tblW w:w="0" w:type="auto"/>
        <w:tblLook w:val="04A0" w:firstRow="1" w:lastRow="0" w:firstColumn="1" w:lastColumn="0" w:noHBand="0" w:noVBand="1"/>
      </w:tblPr>
      <w:tblGrid>
        <w:gridCol w:w="6502"/>
        <w:gridCol w:w="1700"/>
        <w:gridCol w:w="814"/>
      </w:tblGrid>
      <w:tr w:rsidR="001064DB" w:rsidRPr="00C44B9C" w14:paraId="44B0E3CA" w14:textId="77777777" w:rsidTr="00ED524C">
        <w:trPr>
          <w:trHeight w:val="20"/>
        </w:trPr>
        <w:tc>
          <w:tcPr>
            <w:tcW w:w="6516" w:type="dxa"/>
            <w:hideMark/>
          </w:tcPr>
          <w:p w14:paraId="2289D2A0" w14:textId="77777777" w:rsidR="001064DB" w:rsidRDefault="001064DB" w:rsidP="001064DB">
            <w:pPr>
              <w:rPr>
                <w:rFonts w:asciiTheme="minorHAnsi" w:hAnsiTheme="minorHAnsi" w:cstheme="minorHAnsi"/>
                <w:b/>
                <w:bCs/>
                <w:color w:val="000000"/>
                <w:sz w:val="24"/>
                <w:szCs w:val="24"/>
              </w:rPr>
            </w:pPr>
            <w:r w:rsidRPr="000F1F69">
              <w:rPr>
                <w:rFonts w:asciiTheme="minorHAnsi" w:hAnsiTheme="minorHAnsi" w:cstheme="minorHAnsi"/>
                <w:b/>
                <w:bCs/>
                <w:color w:val="000000"/>
                <w:sz w:val="24"/>
                <w:szCs w:val="24"/>
              </w:rPr>
              <w:t xml:space="preserve">Activity category </w:t>
            </w:r>
          </w:p>
          <w:p w14:paraId="3EBE4098" w14:textId="4761C9A2" w:rsidR="008E3EE2" w:rsidRPr="000F1F69" w:rsidRDefault="008E3EE2" w:rsidP="001064DB">
            <w:pPr>
              <w:rPr>
                <w:rFonts w:asciiTheme="minorHAnsi" w:hAnsiTheme="minorHAnsi" w:cstheme="minorHAnsi"/>
                <w:b/>
                <w:bCs/>
                <w:color w:val="000000"/>
                <w:sz w:val="24"/>
                <w:szCs w:val="24"/>
              </w:rPr>
            </w:pPr>
          </w:p>
        </w:tc>
        <w:tc>
          <w:tcPr>
            <w:tcW w:w="1701" w:type="dxa"/>
            <w:vAlign w:val="center"/>
            <w:hideMark/>
          </w:tcPr>
          <w:p w14:paraId="23C0DD8A" w14:textId="27C4ED69" w:rsidR="001064DB" w:rsidRPr="000F1F69" w:rsidRDefault="001064DB" w:rsidP="001064DB">
            <w:pPr>
              <w:jc w:val="center"/>
              <w:rPr>
                <w:rFonts w:asciiTheme="minorHAnsi" w:hAnsiTheme="minorHAnsi" w:cstheme="minorHAnsi"/>
                <w:b/>
                <w:bCs/>
                <w:color w:val="000000"/>
                <w:sz w:val="24"/>
                <w:szCs w:val="24"/>
              </w:rPr>
            </w:pPr>
            <w:r w:rsidRPr="000F1F69">
              <w:rPr>
                <w:rFonts w:asciiTheme="minorHAnsi" w:hAnsiTheme="minorHAnsi" w:cstheme="minorHAnsi"/>
                <w:b/>
                <w:bCs/>
                <w:color w:val="000000"/>
                <w:sz w:val="24"/>
                <w:szCs w:val="24"/>
              </w:rPr>
              <w:t>£</w:t>
            </w:r>
          </w:p>
        </w:tc>
        <w:tc>
          <w:tcPr>
            <w:tcW w:w="799" w:type="dxa"/>
            <w:noWrap/>
            <w:hideMark/>
          </w:tcPr>
          <w:p w14:paraId="38FFB433" w14:textId="77777777" w:rsidR="001064DB" w:rsidRPr="000F1F69" w:rsidRDefault="001064DB" w:rsidP="000F1F69">
            <w:pPr>
              <w:jc w:val="center"/>
              <w:rPr>
                <w:rFonts w:asciiTheme="minorHAnsi" w:hAnsiTheme="minorHAnsi" w:cstheme="minorHAnsi"/>
                <w:b/>
                <w:bCs/>
                <w:color w:val="000000"/>
                <w:sz w:val="24"/>
                <w:szCs w:val="24"/>
              </w:rPr>
            </w:pPr>
            <w:r w:rsidRPr="000F1F69">
              <w:rPr>
                <w:rFonts w:asciiTheme="minorHAnsi" w:hAnsiTheme="minorHAnsi" w:cstheme="minorHAnsi"/>
                <w:b/>
                <w:bCs/>
                <w:color w:val="000000"/>
                <w:sz w:val="24"/>
                <w:szCs w:val="24"/>
              </w:rPr>
              <w:t>%</w:t>
            </w:r>
          </w:p>
        </w:tc>
      </w:tr>
      <w:tr w:rsidR="001064DB" w:rsidRPr="00C44B9C" w14:paraId="2880EB74" w14:textId="77777777" w:rsidTr="00ED524C">
        <w:trPr>
          <w:trHeight w:val="20"/>
        </w:trPr>
        <w:tc>
          <w:tcPr>
            <w:tcW w:w="6516" w:type="dxa"/>
            <w:hideMark/>
          </w:tcPr>
          <w:p w14:paraId="511F9F5D" w14:textId="7DECD561" w:rsidR="001064DB" w:rsidRPr="00C44B9C" w:rsidRDefault="001064DB" w:rsidP="001064DB">
            <w:pPr>
              <w:rPr>
                <w:rFonts w:asciiTheme="minorHAnsi" w:hAnsiTheme="minorHAnsi" w:cstheme="minorHAnsi"/>
                <w:color w:val="000000"/>
                <w:sz w:val="24"/>
                <w:szCs w:val="24"/>
              </w:rPr>
            </w:pPr>
            <w:r w:rsidRPr="00C44B9C">
              <w:rPr>
                <w:rFonts w:asciiTheme="minorHAnsi" w:hAnsiTheme="minorHAnsi" w:cstheme="minorHAnsi"/>
                <w:color w:val="000000"/>
                <w:sz w:val="24"/>
                <w:szCs w:val="24"/>
              </w:rPr>
              <w:t>Prevention including educational inputs, licensing objectives, Alcohol Brief Interventions</w:t>
            </w:r>
          </w:p>
        </w:tc>
        <w:tc>
          <w:tcPr>
            <w:tcW w:w="1701" w:type="dxa"/>
            <w:vAlign w:val="center"/>
            <w:hideMark/>
          </w:tcPr>
          <w:p w14:paraId="45318A9A" w14:textId="21FC2EB6" w:rsidR="001064DB" w:rsidRPr="00C44B9C" w:rsidRDefault="001064DB" w:rsidP="001064DB">
            <w:pPr>
              <w:jc w:val="center"/>
              <w:rPr>
                <w:rFonts w:asciiTheme="minorHAnsi" w:hAnsiTheme="minorHAnsi" w:cstheme="minorHAnsi"/>
                <w:color w:val="000000"/>
                <w:sz w:val="24"/>
                <w:szCs w:val="24"/>
              </w:rPr>
            </w:pPr>
            <w:r w:rsidRPr="00C44B9C">
              <w:rPr>
                <w:rFonts w:asciiTheme="minorHAnsi" w:hAnsiTheme="minorHAnsi" w:cstheme="minorHAnsi"/>
                <w:color w:val="000000"/>
                <w:sz w:val="24"/>
                <w:szCs w:val="24"/>
              </w:rPr>
              <w:t>57,000</w:t>
            </w:r>
          </w:p>
        </w:tc>
        <w:tc>
          <w:tcPr>
            <w:tcW w:w="799" w:type="dxa"/>
            <w:noWrap/>
            <w:hideMark/>
          </w:tcPr>
          <w:p w14:paraId="189F0B4B" w14:textId="77777777" w:rsidR="001064DB" w:rsidRPr="00C44B9C" w:rsidRDefault="001064DB" w:rsidP="001064DB">
            <w:pPr>
              <w:jc w:val="right"/>
              <w:rPr>
                <w:rFonts w:asciiTheme="minorHAnsi" w:hAnsiTheme="minorHAnsi" w:cstheme="minorHAnsi"/>
                <w:color w:val="000000"/>
                <w:sz w:val="24"/>
                <w:szCs w:val="24"/>
              </w:rPr>
            </w:pPr>
            <w:r w:rsidRPr="00C44B9C">
              <w:rPr>
                <w:rFonts w:asciiTheme="minorHAnsi" w:hAnsiTheme="minorHAnsi" w:cstheme="minorHAnsi"/>
                <w:color w:val="000000"/>
                <w:sz w:val="24"/>
                <w:szCs w:val="24"/>
              </w:rPr>
              <w:t>0.5%</w:t>
            </w:r>
          </w:p>
        </w:tc>
      </w:tr>
      <w:tr w:rsidR="001064DB" w:rsidRPr="00C44B9C" w14:paraId="43DB7FB3" w14:textId="77777777" w:rsidTr="00ED524C">
        <w:trPr>
          <w:trHeight w:val="20"/>
        </w:trPr>
        <w:tc>
          <w:tcPr>
            <w:tcW w:w="6516" w:type="dxa"/>
            <w:hideMark/>
          </w:tcPr>
          <w:p w14:paraId="74D5853F" w14:textId="77777777" w:rsidR="001064DB" w:rsidRPr="00C44B9C" w:rsidRDefault="001064DB" w:rsidP="001064DB">
            <w:pPr>
              <w:rPr>
                <w:rFonts w:asciiTheme="minorHAnsi" w:hAnsiTheme="minorHAnsi" w:cstheme="minorHAnsi"/>
                <w:color w:val="000000"/>
                <w:sz w:val="24"/>
                <w:szCs w:val="24"/>
              </w:rPr>
            </w:pPr>
            <w:r w:rsidRPr="00C44B9C">
              <w:rPr>
                <w:rFonts w:asciiTheme="minorHAnsi" w:hAnsiTheme="minorHAnsi" w:cstheme="minorHAnsi"/>
                <w:color w:val="000000"/>
                <w:sz w:val="24"/>
                <w:szCs w:val="24"/>
              </w:rPr>
              <w:t>Community based treatment and recovery services for adults</w:t>
            </w:r>
          </w:p>
        </w:tc>
        <w:tc>
          <w:tcPr>
            <w:tcW w:w="1701" w:type="dxa"/>
            <w:vAlign w:val="center"/>
            <w:hideMark/>
          </w:tcPr>
          <w:p w14:paraId="3E65C65C" w14:textId="1BB1110D" w:rsidR="001064DB" w:rsidRPr="00C44B9C" w:rsidRDefault="001064DB" w:rsidP="001064DB">
            <w:pPr>
              <w:jc w:val="center"/>
              <w:rPr>
                <w:rFonts w:asciiTheme="minorHAnsi" w:hAnsiTheme="minorHAnsi" w:cstheme="minorHAnsi"/>
                <w:color w:val="000000"/>
                <w:sz w:val="24"/>
                <w:szCs w:val="24"/>
              </w:rPr>
            </w:pPr>
            <w:r w:rsidRPr="00C44B9C">
              <w:rPr>
                <w:rFonts w:asciiTheme="minorHAnsi" w:hAnsiTheme="minorHAnsi" w:cstheme="minorHAnsi"/>
                <w:color w:val="000000"/>
                <w:sz w:val="24"/>
                <w:szCs w:val="24"/>
              </w:rPr>
              <w:t>7,613,291</w:t>
            </w:r>
          </w:p>
        </w:tc>
        <w:tc>
          <w:tcPr>
            <w:tcW w:w="799" w:type="dxa"/>
            <w:noWrap/>
            <w:hideMark/>
          </w:tcPr>
          <w:p w14:paraId="617796A7" w14:textId="77777777" w:rsidR="001064DB" w:rsidRPr="00C44B9C" w:rsidRDefault="001064DB" w:rsidP="001064DB">
            <w:pPr>
              <w:jc w:val="right"/>
              <w:rPr>
                <w:rFonts w:asciiTheme="minorHAnsi" w:hAnsiTheme="minorHAnsi" w:cstheme="minorHAnsi"/>
                <w:color w:val="000000"/>
                <w:sz w:val="24"/>
                <w:szCs w:val="24"/>
              </w:rPr>
            </w:pPr>
            <w:r w:rsidRPr="00C44B9C">
              <w:rPr>
                <w:rFonts w:asciiTheme="minorHAnsi" w:hAnsiTheme="minorHAnsi" w:cstheme="minorHAnsi"/>
                <w:color w:val="000000"/>
                <w:sz w:val="24"/>
                <w:szCs w:val="24"/>
              </w:rPr>
              <w:t>69.9%</w:t>
            </w:r>
          </w:p>
        </w:tc>
      </w:tr>
      <w:tr w:rsidR="001064DB" w:rsidRPr="00C44B9C" w14:paraId="03077560" w14:textId="77777777" w:rsidTr="00ED524C">
        <w:trPr>
          <w:trHeight w:val="20"/>
        </w:trPr>
        <w:tc>
          <w:tcPr>
            <w:tcW w:w="6516" w:type="dxa"/>
            <w:hideMark/>
          </w:tcPr>
          <w:p w14:paraId="56BED99B" w14:textId="77777777" w:rsidR="001064DB" w:rsidRPr="00C44B9C" w:rsidRDefault="001064DB" w:rsidP="001064DB">
            <w:pPr>
              <w:rPr>
                <w:rFonts w:asciiTheme="minorHAnsi" w:hAnsiTheme="minorHAnsi" w:cstheme="minorHAnsi"/>
                <w:color w:val="000000"/>
                <w:sz w:val="24"/>
                <w:szCs w:val="24"/>
              </w:rPr>
            </w:pPr>
            <w:r w:rsidRPr="00C44B9C">
              <w:rPr>
                <w:rFonts w:asciiTheme="minorHAnsi" w:hAnsiTheme="minorHAnsi" w:cstheme="minorHAnsi"/>
                <w:color w:val="000000"/>
                <w:sz w:val="24"/>
                <w:szCs w:val="24"/>
              </w:rPr>
              <w:t>Inpatient detox services</w:t>
            </w:r>
          </w:p>
        </w:tc>
        <w:tc>
          <w:tcPr>
            <w:tcW w:w="1701" w:type="dxa"/>
            <w:vAlign w:val="center"/>
            <w:hideMark/>
          </w:tcPr>
          <w:p w14:paraId="72AEF881" w14:textId="4341F5D4" w:rsidR="001064DB" w:rsidRPr="00C44B9C" w:rsidRDefault="001064DB" w:rsidP="001064DB">
            <w:pPr>
              <w:jc w:val="center"/>
              <w:rPr>
                <w:rFonts w:asciiTheme="minorHAnsi" w:hAnsiTheme="minorHAnsi" w:cstheme="minorHAnsi"/>
                <w:color w:val="000000"/>
                <w:sz w:val="24"/>
                <w:szCs w:val="24"/>
              </w:rPr>
            </w:pPr>
            <w:r w:rsidRPr="00C44B9C">
              <w:rPr>
                <w:rFonts w:asciiTheme="minorHAnsi" w:hAnsiTheme="minorHAnsi" w:cstheme="minorHAnsi"/>
                <w:color w:val="000000"/>
                <w:sz w:val="24"/>
                <w:szCs w:val="24"/>
              </w:rPr>
              <w:t>82,314</w:t>
            </w:r>
          </w:p>
        </w:tc>
        <w:tc>
          <w:tcPr>
            <w:tcW w:w="799" w:type="dxa"/>
            <w:noWrap/>
            <w:hideMark/>
          </w:tcPr>
          <w:p w14:paraId="3D806DF7" w14:textId="77777777" w:rsidR="001064DB" w:rsidRPr="00C44B9C" w:rsidRDefault="001064DB" w:rsidP="001064DB">
            <w:pPr>
              <w:jc w:val="right"/>
              <w:rPr>
                <w:rFonts w:asciiTheme="minorHAnsi" w:hAnsiTheme="minorHAnsi" w:cstheme="minorHAnsi"/>
                <w:color w:val="000000"/>
                <w:sz w:val="24"/>
                <w:szCs w:val="24"/>
              </w:rPr>
            </w:pPr>
            <w:r w:rsidRPr="00C44B9C">
              <w:rPr>
                <w:rFonts w:asciiTheme="minorHAnsi" w:hAnsiTheme="minorHAnsi" w:cstheme="minorHAnsi"/>
                <w:color w:val="000000"/>
                <w:sz w:val="24"/>
                <w:szCs w:val="24"/>
              </w:rPr>
              <w:t>0.8%</w:t>
            </w:r>
          </w:p>
        </w:tc>
      </w:tr>
      <w:tr w:rsidR="001064DB" w:rsidRPr="00C44B9C" w14:paraId="7EC5DC48" w14:textId="77777777" w:rsidTr="00ED524C">
        <w:trPr>
          <w:trHeight w:val="20"/>
        </w:trPr>
        <w:tc>
          <w:tcPr>
            <w:tcW w:w="6516" w:type="dxa"/>
            <w:hideMark/>
          </w:tcPr>
          <w:p w14:paraId="502E92C8" w14:textId="2FA51936" w:rsidR="001064DB" w:rsidRPr="00C44B9C" w:rsidRDefault="001064DB" w:rsidP="001064DB">
            <w:pPr>
              <w:rPr>
                <w:rFonts w:asciiTheme="minorHAnsi" w:hAnsiTheme="minorHAnsi" w:cstheme="minorHAnsi"/>
                <w:color w:val="000000"/>
                <w:sz w:val="24"/>
                <w:szCs w:val="24"/>
              </w:rPr>
            </w:pPr>
            <w:r w:rsidRPr="00C44B9C">
              <w:rPr>
                <w:rFonts w:asciiTheme="minorHAnsi" w:hAnsiTheme="minorHAnsi" w:cstheme="minorHAnsi"/>
                <w:color w:val="000000"/>
                <w:sz w:val="24"/>
                <w:szCs w:val="24"/>
              </w:rPr>
              <w:t xml:space="preserve">Residential rehabilitation (including placements, </w:t>
            </w:r>
            <w:r w:rsidR="00BF4E15" w:rsidRPr="00C44B9C">
              <w:rPr>
                <w:rFonts w:asciiTheme="minorHAnsi" w:hAnsiTheme="minorHAnsi" w:cstheme="minorHAnsi"/>
                <w:color w:val="000000"/>
                <w:sz w:val="24"/>
                <w:szCs w:val="24"/>
              </w:rPr>
              <w:t>pathways,</w:t>
            </w:r>
            <w:r w:rsidRPr="00C44B9C">
              <w:rPr>
                <w:rFonts w:asciiTheme="minorHAnsi" w:hAnsiTheme="minorHAnsi" w:cstheme="minorHAnsi"/>
                <w:color w:val="000000"/>
                <w:sz w:val="24"/>
                <w:szCs w:val="24"/>
              </w:rPr>
              <w:t xml:space="preserve"> and referrals) </w:t>
            </w:r>
          </w:p>
        </w:tc>
        <w:tc>
          <w:tcPr>
            <w:tcW w:w="1701" w:type="dxa"/>
            <w:vAlign w:val="center"/>
            <w:hideMark/>
          </w:tcPr>
          <w:p w14:paraId="25C1D143" w14:textId="64BDEF06" w:rsidR="001064DB" w:rsidRPr="00C44B9C" w:rsidRDefault="001064DB" w:rsidP="001064DB">
            <w:pPr>
              <w:jc w:val="center"/>
              <w:rPr>
                <w:rFonts w:asciiTheme="minorHAnsi" w:hAnsiTheme="minorHAnsi" w:cstheme="minorHAnsi"/>
                <w:color w:val="000000"/>
                <w:sz w:val="24"/>
                <w:szCs w:val="24"/>
              </w:rPr>
            </w:pPr>
            <w:r w:rsidRPr="00C44B9C">
              <w:rPr>
                <w:rFonts w:asciiTheme="minorHAnsi" w:hAnsiTheme="minorHAnsi" w:cstheme="minorHAnsi"/>
                <w:color w:val="000000"/>
                <w:sz w:val="24"/>
                <w:szCs w:val="24"/>
              </w:rPr>
              <w:t>849,309</w:t>
            </w:r>
          </w:p>
        </w:tc>
        <w:tc>
          <w:tcPr>
            <w:tcW w:w="799" w:type="dxa"/>
            <w:noWrap/>
            <w:hideMark/>
          </w:tcPr>
          <w:p w14:paraId="1785B037" w14:textId="77777777" w:rsidR="001064DB" w:rsidRPr="00C44B9C" w:rsidRDefault="001064DB" w:rsidP="001064DB">
            <w:pPr>
              <w:jc w:val="right"/>
              <w:rPr>
                <w:rFonts w:asciiTheme="minorHAnsi" w:hAnsiTheme="minorHAnsi" w:cstheme="minorHAnsi"/>
                <w:color w:val="000000"/>
                <w:sz w:val="24"/>
                <w:szCs w:val="24"/>
              </w:rPr>
            </w:pPr>
            <w:r w:rsidRPr="00C44B9C">
              <w:rPr>
                <w:rFonts w:asciiTheme="minorHAnsi" w:hAnsiTheme="minorHAnsi" w:cstheme="minorHAnsi"/>
                <w:color w:val="000000"/>
                <w:sz w:val="24"/>
                <w:szCs w:val="24"/>
              </w:rPr>
              <w:t>7.8%</w:t>
            </w:r>
          </w:p>
        </w:tc>
      </w:tr>
      <w:tr w:rsidR="001064DB" w:rsidRPr="00C44B9C" w14:paraId="43A3CFA6" w14:textId="77777777" w:rsidTr="00ED524C">
        <w:trPr>
          <w:trHeight w:val="20"/>
        </w:trPr>
        <w:tc>
          <w:tcPr>
            <w:tcW w:w="6516" w:type="dxa"/>
            <w:hideMark/>
          </w:tcPr>
          <w:p w14:paraId="07A0C01A" w14:textId="77777777" w:rsidR="001064DB" w:rsidRPr="00C44B9C" w:rsidRDefault="001064DB" w:rsidP="001064DB">
            <w:pPr>
              <w:rPr>
                <w:rFonts w:asciiTheme="minorHAnsi" w:hAnsiTheme="minorHAnsi" w:cstheme="minorHAnsi"/>
                <w:color w:val="000000"/>
                <w:sz w:val="24"/>
                <w:szCs w:val="24"/>
              </w:rPr>
            </w:pPr>
            <w:r w:rsidRPr="00C44B9C">
              <w:rPr>
                <w:rFonts w:asciiTheme="minorHAnsi" w:hAnsiTheme="minorHAnsi" w:cstheme="minorHAnsi"/>
                <w:color w:val="000000"/>
                <w:sz w:val="24"/>
                <w:szCs w:val="24"/>
              </w:rPr>
              <w:t>Recovery community initiatives</w:t>
            </w:r>
          </w:p>
        </w:tc>
        <w:tc>
          <w:tcPr>
            <w:tcW w:w="1701" w:type="dxa"/>
            <w:vAlign w:val="center"/>
            <w:hideMark/>
          </w:tcPr>
          <w:p w14:paraId="3CF6685B" w14:textId="1ECF2517" w:rsidR="001064DB" w:rsidRPr="00C44B9C" w:rsidRDefault="001064DB" w:rsidP="001064DB">
            <w:pPr>
              <w:jc w:val="center"/>
              <w:rPr>
                <w:rFonts w:asciiTheme="minorHAnsi" w:hAnsiTheme="minorHAnsi" w:cstheme="minorHAnsi"/>
                <w:color w:val="000000"/>
                <w:sz w:val="24"/>
                <w:szCs w:val="24"/>
              </w:rPr>
            </w:pPr>
            <w:r w:rsidRPr="00C44B9C">
              <w:rPr>
                <w:rFonts w:asciiTheme="minorHAnsi" w:hAnsiTheme="minorHAnsi" w:cstheme="minorHAnsi"/>
                <w:color w:val="000000"/>
                <w:sz w:val="24"/>
                <w:szCs w:val="24"/>
              </w:rPr>
              <w:t>227,158</w:t>
            </w:r>
          </w:p>
        </w:tc>
        <w:tc>
          <w:tcPr>
            <w:tcW w:w="799" w:type="dxa"/>
            <w:noWrap/>
            <w:hideMark/>
          </w:tcPr>
          <w:p w14:paraId="540E4CC4" w14:textId="77777777" w:rsidR="001064DB" w:rsidRPr="00C44B9C" w:rsidRDefault="001064DB" w:rsidP="001064DB">
            <w:pPr>
              <w:jc w:val="right"/>
              <w:rPr>
                <w:rFonts w:asciiTheme="minorHAnsi" w:hAnsiTheme="minorHAnsi" w:cstheme="minorHAnsi"/>
                <w:color w:val="000000"/>
                <w:sz w:val="24"/>
                <w:szCs w:val="24"/>
              </w:rPr>
            </w:pPr>
            <w:r w:rsidRPr="00C44B9C">
              <w:rPr>
                <w:rFonts w:asciiTheme="minorHAnsi" w:hAnsiTheme="minorHAnsi" w:cstheme="minorHAnsi"/>
                <w:color w:val="000000"/>
                <w:sz w:val="24"/>
                <w:szCs w:val="24"/>
              </w:rPr>
              <w:t>2.1%</w:t>
            </w:r>
          </w:p>
        </w:tc>
      </w:tr>
      <w:tr w:rsidR="001064DB" w:rsidRPr="00C44B9C" w14:paraId="1572F6FC" w14:textId="77777777" w:rsidTr="00ED524C">
        <w:trPr>
          <w:trHeight w:val="20"/>
        </w:trPr>
        <w:tc>
          <w:tcPr>
            <w:tcW w:w="6516" w:type="dxa"/>
            <w:hideMark/>
          </w:tcPr>
          <w:p w14:paraId="7E61E1FA" w14:textId="77777777" w:rsidR="001064DB" w:rsidRPr="00C44B9C" w:rsidRDefault="001064DB" w:rsidP="001064DB">
            <w:pPr>
              <w:rPr>
                <w:rFonts w:asciiTheme="minorHAnsi" w:hAnsiTheme="minorHAnsi" w:cstheme="minorHAnsi"/>
                <w:color w:val="000000"/>
                <w:sz w:val="24"/>
                <w:szCs w:val="24"/>
              </w:rPr>
            </w:pPr>
            <w:r w:rsidRPr="00C44B9C">
              <w:rPr>
                <w:rFonts w:asciiTheme="minorHAnsi" w:hAnsiTheme="minorHAnsi" w:cstheme="minorHAnsi"/>
                <w:color w:val="000000"/>
                <w:sz w:val="24"/>
                <w:szCs w:val="24"/>
              </w:rPr>
              <w:t>Advocacy services</w:t>
            </w:r>
          </w:p>
        </w:tc>
        <w:tc>
          <w:tcPr>
            <w:tcW w:w="1701" w:type="dxa"/>
            <w:vAlign w:val="center"/>
            <w:hideMark/>
          </w:tcPr>
          <w:p w14:paraId="0C272963" w14:textId="1485011E" w:rsidR="001064DB" w:rsidRPr="00C44B9C" w:rsidRDefault="001064DB" w:rsidP="001064DB">
            <w:pPr>
              <w:jc w:val="center"/>
              <w:rPr>
                <w:rFonts w:asciiTheme="minorHAnsi" w:hAnsiTheme="minorHAnsi" w:cstheme="minorHAnsi"/>
                <w:color w:val="000000"/>
                <w:sz w:val="24"/>
                <w:szCs w:val="24"/>
              </w:rPr>
            </w:pPr>
            <w:r w:rsidRPr="00C44B9C">
              <w:rPr>
                <w:rFonts w:asciiTheme="minorHAnsi" w:hAnsiTheme="minorHAnsi" w:cstheme="minorHAnsi"/>
                <w:color w:val="000000"/>
                <w:sz w:val="24"/>
                <w:szCs w:val="24"/>
              </w:rPr>
              <w:t>41,320</w:t>
            </w:r>
          </w:p>
        </w:tc>
        <w:tc>
          <w:tcPr>
            <w:tcW w:w="799" w:type="dxa"/>
            <w:noWrap/>
            <w:hideMark/>
          </w:tcPr>
          <w:p w14:paraId="556B6E4A" w14:textId="77777777" w:rsidR="001064DB" w:rsidRPr="00C44B9C" w:rsidRDefault="001064DB" w:rsidP="001064DB">
            <w:pPr>
              <w:jc w:val="right"/>
              <w:rPr>
                <w:rFonts w:asciiTheme="minorHAnsi" w:hAnsiTheme="minorHAnsi" w:cstheme="minorHAnsi"/>
                <w:color w:val="000000"/>
                <w:sz w:val="24"/>
                <w:szCs w:val="24"/>
              </w:rPr>
            </w:pPr>
            <w:r w:rsidRPr="00C44B9C">
              <w:rPr>
                <w:rFonts w:asciiTheme="minorHAnsi" w:hAnsiTheme="minorHAnsi" w:cstheme="minorHAnsi"/>
                <w:color w:val="000000"/>
                <w:sz w:val="24"/>
                <w:szCs w:val="24"/>
              </w:rPr>
              <w:t>0.4%</w:t>
            </w:r>
          </w:p>
        </w:tc>
      </w:tr>
      <w:tr w:rsidR="001064DB" w:rsidRPr="00C44B9C" w14:paraId="07F3698D" w14:textId="77777777" w:rsidTr="00ED524C">
        <w:trPr>
          <w:trHeight w:val="20"/>
        </w:trPr>
        <w:tc>
          <w:tcPr>
            <w:tcW w:w="6516" w:type="dxa"/>
            <w:hideMark/>
          </w:tcPr>
          <w:p w14:paraId="7679DCD0" w14:textId="77777777" w:rsidR="001064DB" w:rsidRPr="00C44B9C" w:rsidRDefault="001064DB" w:rsidP="001064DB">
            <w:pPr>
              <w:rPr>
                <w:rFonts w:asciiTheme="minorHAnsi" w:hAnsiTheme="minorHAnsi" w:cstheme="minorHAnsi"/>
                <w:color w:val="000000"/>
                <w:sz w:val="24"/>
                <w:szCs w:val="24"/>
              </w:rPr>
            </w:pPr>
            <w:r w:rsidRPr="00C44B9C">
              <w:rPr>
                <w:rFonts w:asciiTheme="minorHAnsi" w:hAnsiTheme="minorHAnsi" w:cstheme="minorHAnsi"/>
                <w:color w:val="000000"/>
                <w:sz w:val="24"/>
                <w:szCs w:val="24"/>
              </w:rPr>
              <w:t xml:space="preserve">Services for families affected by alcohol and drug use (whole family Approach Framework) </w:t>
            </w:r>
          </w:p>
        </w:tc>
        <w:tc>
          <w:tcPr>
            <w:tcW w:w="1701" w:type="dxa"/>
            <w:vAlign w:val="center"/>
            <w:hideMark/>
          </w:tcPr>
          <w:p w14:paraId="3C190B67" w14:textId="0A27F09A" w:rsidR="001064DB" w:rsidRPr="00C44B9C" w:rsidRDefault="001064DB" w:rsidP="001064DB">
            <w:pPr>
              <w:jc w:val="center"/>
              <w:rPr>
                <w:rFonts w:asciiTheme="minorHAnsi" w:hAnsiTheme="minorHAnsi" w:cstheme="minorHAnsi"/>
                <w:color w:val="000000"/>
                <w:sz w:val="24"/>
                <w:szCs w:val="24"/>
              </w:rPr>
            </w:pPr>
            <w:r w:rsidRPr="00C44B9C">
              <w:rPr>
                <w:rFonts w:asciiTheme="minorHAnsi" w:hAnsiTheme="minorHAnsi" w:cstheme="minorHAnsi"/>
                <w:color w:val="000000"/>
                <w:sz w:val="24"/>
                <w:szCs w:val="24"/>
              </w:rPr>
              <w:t>529,263</w:t>
            </w:r>
          </w:p>
        </w:tc>
        <w:tc>
          <w:tcPr>
            <w:tcW w:w="799" w:type="dxa"/>
            <w:noWrap/>
            <w:hideMark/>
          </w:tcPr>
          <w:p w14:paraId="27D7415E" w14:textId="77777777" w:rsidR="001064DB" w:rsidRPr="00C44B9C" w:rsidRDefault="001064DB" w:rsidP="001064DB">
            <w:pPr>
              <w:jc w:val="right"/>
              <w:rPr>
                <w:rFonts w:asciiTheme="minorHAnsi" w:hAnsiTheme="minorHAnsi" w:cstheme="minorHAnsi"/>
                <w:color w:val="000000"/>
                <w:sz w:val="24"/>
                <w:szCs w:val="24"/>
              </w:rPr>
            </w:pPr>
            <w:r w:rsidRPr="00C44B9C">
              <w:rPr>
                <w:rFonts w:asciiTheme="minorHAnsi" w:hAnsiTheme="minorHAnsi" w:cstheme="minorHAnsi"/>
                <w:color w:val="000000"/>
                <w:sz w:val="24"/>
                <w:szCs w:val="24"/>
              </w:rPr>
              <w:t>4.9%</w:t>
            </w:r>
          </w:p>
        </w:tc>
      </w:tr>
      <w:tr w:rsidR="001064DB" w:rsidRPr="00C44B9C" w14:paraId="32D646B7" w14:textId="77777777" w:rsidTr="00ED524C">
        <w:trPr>
          <w:trHeight w:val="20"/>
        </w:trPr>
        <w:tc>
          <w:tcPr>
            <w:tcW w:w="6516" w:type="dxa"/>
            <w:hideMark/>
          </w:tcPr>
          <w:p w14:paraId="2024F4C1" w14:textId="77777777" w:rsidR="001064DB" w:rsidRPr="00C44B9C" w:rsidRDefault="001064DB" w:rsidP="001064DB">
            <w:pPr>
              <w:rPr>
                <w:rFonts w:asciiTheme="minorHAnsi" w:hAnsiTheme="minorHAnsi" w:cstheme="minorHAnsi"/>
                <w:color w:val="000000"/>
                <w:sz w:val="24"/>
                <w:szCs w:val="24"/>
              </w:rPr>
            </w:pPr>
            <w:r w:rsidRPr="00C44B9C">
              <w:rPr>
                <w:rFonts w:asciiTheme="minorHAnsi" w:hAnsiTheme="minorHAnsi" w:cstheme="minorHAnsi"/>
                <w:color w:val="000000"/>
                <w:sz w:val="24"/>
                <w:szCs w:val="24"/>
              </w:rPr>
              <w:t>Alcohol and drug services specifically for children and young people</w:t>
            </w:r>
          </w:p>
        </w:tc>
        <w:tc>
          <w:tcPr>
            <w:tcW w:w="1701" w:type="dxa"/>
            <w:vAlign w:val="center"/>
            <w:hideMark/>
          </w:tcPr>
          <w:p w14:paraId="44CE623C" w14:textId="4F1D1A48" w:rsidR="001064DB" w:rsidRPr="00C44B9C" w:rsidRDefault="001064DB" w:rsidP="001064DB">
            <w:pPr>
              <w:jc w:val="center"/>
              <w:rPr>
                <w:rFonts w:asciiTheme="minorHAnsi" w:hAnsiTheme="minorHAnsi" w:cstheme="minorHAnsi"/>
                <w:color w:val="000000"/>
                <w:sz w:val="24"/>
                <w:szCs w:val="24"/>
              </w:rPr>
            </w:pPr>
            <w:r w:rsidRPr="00C44B9C">
              <w:rPr>
                <w:rFonts w:asciiTheme="minorHAnsi" w:hAnsiTheme="minorHAnsi" w:cstheme="minorHAnsi"/>
                <w:color w:val="000000"/>
                <w:sz w:val="24"/>
                <w:szCs w:val="24"/>
              </w:rPr>
              <w:t>208,134</w:t>
            </w:r>
          </w:p>
        </w:tc>
        <w:tc>
          <w:tcPr>
            <w:tcW w:w="799" w:type="dxa"/>
            <w:noWrap/>
            <w:hideMark/>
          </w:tcPr>
          <w:p w14:paraId="3C9B74A2" w14:textId="77777777" w:rsidR="001064DB" w:rsidRPr="00C44B9C" w:rsidRDefault="001064DB" w:rsidP="001064DB">
            <w:pPr>
              <w:jc w:val="right"/>
              <w:rPr>
                <w:rFonts w:asciiTheme="minorHAnsi" w:hAnsiTheme="minorHAnsi" w:cstheme="minorHAnsi"/>
                <w:color w:val="000000"/>
                <w:sz w:val="24"/>
                <w:szCs w:val="24"/>
              </w:rPr>
            </w:pPr>
            <w:r w:rsidRPr="00C44B9C">
              <w:rPr>
                <w:rFonts w:asciiTheme="minorHAnsi" w:hAnsiTheme="minorHAnsi" w:cstheme="minorHAnsi"/>
                <w:color w:val="000000"/>
                <w:sz w:val="24"/>
                <w:szCs w:val="24"/>
              </w:rPr>
              <w:t>1.9%</w:t>
            </w:r>
          </w:p>
        </w:tc>
      </w:tr>
      <w:tr w:rsidR="001064DB" w:rsidRPr="00C44B9C" w14:paraId="107C512B" w14:textId="77777777" w:rsidTr="00ED524C">
        <w:trPr>
          <w:trHeight w:val="20"/>
        </w:trPr>
        <w:tc>
          <w:tcPr>
            <w:tcW w:w="6516" w:type="dxa"/>
            <w:hideMark/>
          </w:tcPr>
          <w:p w14:paraId="6163A87B" w14:textId="77777777" w:rsidR="001064DB" w:rsidRPr="00C44B9C" w:rsidRDefault="001064DB" w:rsidP="001064DB">
            <w:pPr>
              <w:rPr>
                <w:rFonts w:asciiTheme="minorHAnsi" w:hAnsiTheme="minorHAnsi" w:cstheme="minorHAnsi"/>
                <w:color w:val="000000"/>
                <w:sz w:val="24"/>
                <w:szCs w:val="24"/>
              </w:rPr>
            </w:pPr>
            <w:r w:rsidRPr="00C44B9C">
              <w:rPr>
                <w:rFonts w:asciiTheme="minorHAnsi" w:hAnsiTheme="minorHAnsi" w:cstheme="minorHAnsi"/>
                <w:color w:val="000000"/>
                <w:sz w:val="24"/>
                <w:szCs w:val="24"/>
              </w:rPr>
              <w:t>Drug and Alcohol treatment and support in Primary Care</w:t>
            </w:r>
          </w:p>
        </w:tc>
        <w:tc>
          <w:tcPr>
            <w:tcW w:w="1701" w:type="dxa"/>
            <w:vAlign w:val="center"/>
            <w:hideMark/>
          </w:tcPr>
          <w:p w14:paraId="474353E5" w14:textId="755CE56D" w:rsidR="001064DB" w:rsidRPr="00C44B9C" w:rsidRDefault="001064DB" w:rsidP="001064DB">
            <w:pPr>
              <w:jc w:val="center"/>
              <w:rPr>
                <w:rFonts w:asciiTheme="minorHAnsi" w:hAnsiTheme="minorHAnsi" w:cstheme="minorHAnsi"/>
                <w:color w:val="000000"/>
                <w:sz w:val="24"/>
                <w:szCs w:val="24"/>
              </w:rPr>
            </w:pPr>
            <w:r w:rsidRPr="00C44B9C">
              <w:rPr>
                <w:rFonts w:asciiTheme="minorHAnsi" w:hAnsiTheme="minorHAnsi" w:cstheme="minorHAnsi"/>
                <w:color w:val="000000"/>
                <w:sz w:val="24"/>
                <w:szCs w:val="24"/>
              </w:rPr>
              <w:t>307,219</w:t>
            </w:r>
          </w:p>
        </w:tc>
        <w:tc>
          <w:tcPr>
            <w:tcW w:w="799" w:type="dxa"/>
            <w:noWrap/>
            <w:hideMark/>
          </w:tcPr>
          <w:p w14:paraId="7CF65087" w14:textId="77777777" w:rsidR="001064DB" w:rsidRPr="00C44B9C" w:rsidRDefault="001064DB" w:rsidP="001064DB">
            <w:pPr>
              <w:jc w:val="right"/>
              <w:rPr>
                <w:rFonts w:asciiTheme="minorHAnsi" w:hAnsiTheme="minorHAnsi" w:cstheme="minorHAnsi"/>
                <w:color w:val="000000"/>
                <w:sz w:val="24"/>
                <w:szCs w:val="24"/>
              </w:rPr>
            </w:pPr>
            <w:r w:rsidRPr="00C44B9C">
              <w:rPr>
                <w:rFonts w:asciiTheme="minorHAnsi" w:hAnsiTheme="minorHAnsi" w:cstheme="minorHAnsi"/>
                <w:color w:val="000000"/>
                <w:sz w:val="24"/>
                <w:szCs w:val="24"/>
              </w:rPr>
              <w:t>2.8%</w:t>
            </w:r>
          </w:p>
        </w:tc>
      </w:tr>
      <w:tr w:rsidR="001064DB" w:rsidRPr="00C44B9C" w14:paraId="19AF2CC4" w14:textId="77777777" w:rsidTr="00ED524C">
        <w:trPr>
          <w:trHeight w:val="20"/>
        </w:trPr>
        <w:tc>
          <w:tcPr>
            <w:tcW w:w="6516" w:type="dxa"/>
            <w:hideMark/>
          </w:tcPr>
          <w:p w14:paraId="0C42977F" w14:textId="77777777" w:rsidR="001064DB" w:rsidRPr="00C44B9C" w:rsidRDefault="001064DB" w:rsidP="001064DB">
            <w:pPr>
              <w:rPr>
                <w:rFonts w:asciiTheme="minorHAnsi" w:hAnsiTheme="minorHAnsi" w:cstheme="minorHAnsi"/>
                <w:color w:val="000000"/>
                <w:sz w:val="24"/>
                <w:szCs w:val="24"/>
              </w:rPr>
            </w:pPr>
            <w:r w:rsidRPr="00C44B9C">
              <w:rPr>
                <w:rFonts w:asciiTheme="minorHAnsi" w:hAnsiTheme="minorHAnsi" w:cstheme="minorHAnsi"/>
                <w:color w:val="000000"/>
                <w:sz w:val="24"/>
                <w:szCs w:val="24"/>
              </w:rPr>
              <w:t>Outreach</w:t>
            </w:r>
          </w:p>
        </w:tc>
        <w:tc>
          <w:tcPr>
            <w:tcW w:w="1701" w:type="dxa"/>
            <w:vAlign w:val="center"/>
            <w:hideMark/>
          </w:tcPr>
          <w:p w14:paraId="71BA9171" w14:textId="641947BD" w:rsidR="001064DB" w:rsidRPr="00C44B9C" w:rsidRDefault="001064DB" w:rsidP="001064DB">
            <w:pPr>
              <w:jc w:val="center"/>
              <w:rPr>
                <w:rFonts w:asciiTheme="minorHAnsi" w:hAnsiTheme="minorHAnsi" w:cstheme="minorHAnsi"/>
                <w:color w:val="000000"/>
                <w:sz w:val="24"/>
                <w:szCs w:val="24"/>
              </w:rPr>
            </w:pPr>
            <w:r w:rsidRPr="00C44B9C">
              <w:rPr>
                <w:rFonts w:asciiTheme="minorHAnsi" w:hAnsiTheme="minorHAnsi" w:cstheme="minorHAnsi"/>
                <w:color w:val="000000"/>
                <w:sz w:val="24"/>
                <w:szCs w:val="24"/>
              </w:rPr>
              <w:t>536,664</w:t>
            </w:r>
          </w:p>
        </w:tc>
        <w:tc>
          <w:tcPr>
            <w:tcW w:w="799" w:type="dxa"/>
            <w:noWrap/>
            <w:hideMark/>
          </w:tcPr>
          <w:p w14:paraId="1D6A7FA2" w14:textId="77777777" w:rsidR="001064DB" w:rsidRPr="00C44B9C" w:rsidRDefault="001064DB" w:rsidP="001064DB">
            <w:pPr>
              <w:jc w:val="right"/>
              <w:rPr>
                <w:rFonts w:asciiTheme="minorHAnsi" w:hAnsiTheme="minorHAnsi" w:cstheme="minorHAnsi"/>
                <w:color w:val="000000"/>
                <w:sz w:val="24"/>
                <w:szCs w:val="24"/>
              </w:rPr>
            </w:pPr>
            <w:r w:rsidRPr="00C44B9C">
              <w:rPr>
                <w:rFonts w:asciiTheme="minorHAnsi" w:hAnsiTheme="minorHAnsi" w:cstheme="minorHAnsi"/>
                <w:color w:val="000000"/>
                <w:sz w:val="24"/>
                <w:szCs w:val="24"/>
              </w:rPr>
              <w:t>4.9%</w:t>
            </w:r>
          </w:p>
        </w:tc>
      </w:tr>
      <w:tr w:rsidR="001064DB" w:rsidRPr="00C44B9C" w14:paraId="17083A2A" w14:textId="77777777" w:rsidTr="00ED524C">
        <w:trPr>
          <w:trHeight w:val="20"/>
        </w:trPr>
        <w:tc>
          <w:tcPr>
            <w:tcW w:w="6516" w:type="dxa"/>
            <w:hideMark/>
          </w:tcPr>
          <w:p w14:paraId="7055168B" w14:textId="77777777" w:rsidR="001064DB" w:rsidRPr="00C44B9C" w:rsidRDefault="001064DB" w:rsidP="001064DB">
            <w:pPr>
              <w:rPr>
                <w:rFonts w:asciiTheme="minorHAnsi" w:hAnsiTheme="minorHAnsi" w:cstheme="minorHAnsi"/>
                <w:color w:val="000000"/>
                <w:sz w:val="24"/>
                <w:szCs w:val="24"/>
              </w:rPr>
            </w:pPr>
            <w:r w:rsidRPr="00C44B9C">
              <w:rPr>
                <w:rFonts w:asciiTheme="minorHAnsi" w:hAnsiTheme="minorHAnsi" w:cstheme="minorHAnsi"/>
                <w:color w:val="000000"/>
                <w:sz w:val="24"/>
                <w:szCs w:val="24"/>
              </w:rPr>
              <w:t>Other</w:t>
            </w:r>
          </w:p>
        </w:tc>
        <w:tc>
          <w:tcPr>
            <w:tcW w:w="1701" w:type="dxa"/>
            <w:vAlign w:val="center"/>
            <w:hideMark/>
          </w:tcPr>
          <w:p w14:paraId="0B4ECD4F" w14:textId="5039D729" w:rsidR="001064DB" w:rsidRPr="00C44B9C" w:rsidRDefault="001064DB" w:rsidP="001064DB">
            <w:pPr>
              <w:jc w:val="center"/>
              <w:rPr>
                <w:rFonts w:asciiTheme="minorHAnsi" w:hAnsiTheme="minorHAnsi" w:cstheme="minorHAnsi"/>
                <w:color w:val="000000"/>
                <w:sz w:val="24"/>
                <w:szCs w:val="24"/>
              </w:rPr>
            </w:pPr>
            <w:r w:rsidRPr="00C44B9C">
              <w:rPr>
                <w:rFonts w:asciiTheme="minorHAnsi" w:hAnsiTheme="minorHAnsi" w:cstheme="minorHAnsi"/>
                <w:color w:val="000000"/>
                <w:sz w:val="24"/>
                <w:szCs w:val="24"/>
              </w:rPr>
              <w:t>435,260</w:t>
            </w:r>
          </w:p>
        </w:tc>
        <w:tc>
          <w:tcPr>
            <w:tcW w:w="799" w:type="dxa"/>
            <w:noWrap/>
            <w:hideMark/>
          </w:tcPr>
          <w:p w14:paraId="6926F815" w14:textId="77777777" w:rsidR="001064DB" w:rsidRPr="00C44B9C" w:rsidRDefault="001064DB" w:rsidP="001064DB">
            <w:pPr>
              <w:jc w:val="right"/>
              <w:rPr>
                <w:rFonts w:asciiTheme="minorHAnsi" w:hAnsiTheme="minorHAnsi" w:cstheme="minorHAnsi"/>
                <w:color w:val="000000"/>
                <w:sz w:val="24"/>
                <w:szCs w:val="24"/>
              </w:rPr>
            </w:pPr>
            <w:r w:rsidRPr="00C44B9C">
              <w:rPr>
                <w:rFonts w:asciiTheme="minorHAnsi" w:hAnsiTheme="minorHAnsi" w:cstheme="minorHAnsi"/>
                <w:color w:val="000000"/>
                <w:sz w:val="24"/>
                <w:szCs w:val="24"/>
              </w:rPr>
              <w:t>4.0%</w:t>
            </w:r>
          </w:p>
        </w:tc>
      </w:tr>
      <w:tr w:rsidR="001064DB" w:rsidRPr="00C44B9C" w14:paraId="17464384" w14:textId="77777777" w:rsidTr="00ED524C">
        <w:trPr>
          <w:trHeight w:val="20"/>
        </w:trPr>
        <w:tc>
          <w:tcPr>
            <w:tcW w:w="6516" w:type="dxa"/>
            <w:hideMark/>
          </w:tcPr>
          <w:p w14:paraId="31AC0C64" w14:textId="77777777" w:rsidR="001064DB" w:rsidRPr="00C44B9C" w:rsidRDefault="001064DB" w:rsidP="001064DB">
            <w:pPr>
              <w:rPr>
                <w:rFonts w:asciiTheme="minorHAnsi" w:hAnsiTheme="minorHAnsi" w:cstheme="minorHAnsi"/>
                <w:b/>
                <w:bCs/>
                <w:color w:val="000000"/>
                <w:sz w:val="24"/>
                <w:szCs w:val="24"/>
              </w:rPr>
            </w:pPr>
            <w:r w:rsidRPr="00C44B9C">
              <w:rPr>
                <w:rFonts w:asciiTheme="minorHAnsi" w:hAnsiTheme="minorHAnsi" w:cstheme="minorHAnsi"/>
                <w:b/>
                <w:bCs/>
                <w:color w:val="000000"/>
                <w:sz w:val="24"/>
                <w:szCs w:val="24"/>
              </w:rPr>
              <w:t xml:space="preserve">Total </w:t>
            </w:r>
          </w:p>
        </w:tc>
        <w:tc>
          <w:tcPr>
            <w:tcW w:w="1701" w:type="dxa"/>
            <w:vAlign w:val="center"/>
            <w:hideMark/>
          </w:tcPr>
          <w:p w14:paraId="30641579" w14:textId="60B0C762" w:rsidR="001064DB" w:rsidRPr="00C44B9C" w:rsidRDefault="001064DB" w:rsidP="001064DB">
            <w:pPr>
              <w:jc w:val="center"/>
              <w:rPr>
                <w:rFonts w:asciiTheme="minorHAnsi" w:hAnsiTheme="minorHAnsi" w:cstheme="minorHAnsi"/>
                <w:b/>
                <w:bCs/>
                <w:color w:val="000000"/>
                <w:sz w:val="24"/>
                <w:szCs w:val="24"/>
              </w:rPr>
            </w:pPr>
            <w:r w:rsidRPr="00C44B9C">
              <w:rPr>
                <w:rFonts w:asciiTheme="minorHAnsi" w:hAnsiTheme="minorHAnsi" w:cstheme="minorHAnsi"/>
                <w:b/>
                <w:bCs/>
                <w:color w:val="000000"/>
                <w:sz w:val="24"/>
                <w:szCs w:val="24"/>
              </w:rPr>
              <w:t>10,886,932</w:t>
            </w:r>
          </w:p>
        </w:tc>
        <w:tc>
          <w:tcPr>
            <w:tcW w:w="799" w:type="dxa"/>
            <w:noWrap/>
            <w:hideMark/>
          </w:tcPr>
          <w:p w14:paraId="0A987ED4" w14:textId="77777777" w:rsidR="001064DB" w:rsidRPr="00C44B9C" w:rsidRDefault="001064DB" w:rsidP="001064DB">
            <w:pPr>
              <w:jc w:val="center"/>
              <w:rPr>
                <w:rFonts w:asciiTheme="minorHAnsi" w:hAnsiTheme="minorHAnsi" w:cstheme="minorHAnsi"/>
                <w:b/>
                <w:bCs/>
                <w:color w:val="000000"/>
                <w:sz w:val="24"/>
                <w:szCs w:val="24"/>
              </w:rPr>
            </w:pPr>
          </w:p>
        </w:tc>
      </w:tr>
    </w:tbl>
    <w:p w14:paraId="05DC4DE1" w14:textId="77777777" w:rsidR="001064DB" w:rsidRPr="00C44B9C" w:rsidRDefault="001064DB" w:rsidP="001064DB">
      <w:pPr>
        <w:rPr>
          <w:rFonts w:cstheme="minorHAnsi"/>
          <w:sz w:val="24"/>
          <w:szCs w:val="24"/>
        </w:rPr>
      </w:pPr>
    </w:p>
    <w:p w14:paraId="76EB8F07" w14:textId="77777777" w:rsidR="008E3EE2" w:rsidRDefault="008E3EE2" w:rsidP="00A244CB">
      <w:pPr>
        <w:rPr>
          <w:rFonts w:cstheme="minorHAnsi"/>
          <w:sz w:val="24"/>
          <w:szCs w:val="24"/>
        </w:rPr>
      </w:pPr>
    </w:p>
    <w:p w14:paraId="79FFFD42" w14:textId="77777777" w:rsidR="008E3EE2" w:rsidRDefault="008E3EE2" w:rsidP="00A244CB">
      <w:pPr>
        <w:rPr>
          <w:rFonts w:cstheme="minorHAnsi"/>
          <w:sz w:val="24"/>
          <w:szCs w:val="24"/>
        </w:rPr>
      </w:pPr>
    </w:p>
    <w:p w14:paraId="5F293BBD" w14:textId="77777777" w:rsidR="008E3EE2" w:rsidRDefault="008E3EE2" w:rsidP="00A244CB">
      <w:pPr>
        <w:rPr>
          <w:rFonts w:cstheme="minorHAnsi"/>
          <w:sz w:val="24"/>
          <w:szCs w:val="24"/>
        </w:rPr>
      </w:pPr>
    </w:p>
    <w:p w14:paraId="475997D2" w14:textId="77777777" w:rsidR="008E3EE2" w:rsidRDefault="008E3EE2" w:rsidP="00A244CB">
      <w:pPr>
        <w:rPr>
          <w:rFonts w:cstheme="minorHAnsi"/>
          <w:sz w:val="24"/>
          <w:szCs w:val="24"/>
        </w:rPr>
      </w:pPr>
    </w:p>
    <w:p w14:paraId="617D402C" w14:textId="77777777" w:rsidR="00BF4E15" w:rsidRDefault="00BF4E15" w:rsidP="00A244CB">
      <w:pPr>
        <w:rPr>
          <w:rFonts w:cstheme="minorHAnsi"/>
          <w:b/>
          <w:bCs/>
          <w:sz w:val="24"/>
          <w:szCs w:val="24"/>
        </w:rPr>
      </w:pPr>
    </w:p>
    <w:p w14:paraId="496B5999" w14:textId="7B615EC2" w:rsidR="00A244CB" w:rsidRPr="008E3EE2" w:rsidRDefault="008E3EE2" w:rsidP="00A244CB">
      <w:pPr>
        <w:rPr>
          <w:rFonts w:cstheme="minorHAnsi"/>
          <w:b/>
          <w:bCs/>
          <w:sz w:val="24"/>
          <w:szCs w:val="24"/>
        </w:rPr>
      </w:pPr>
      <w:r w:rsidRPr="008E3EE2">
        <w:rPr>
          <w:rFonts w:cstheme="minorHAnsi"/>
          <w:b/>
          <w:bCs/>
          <w:sz w:val="24"/>
          <w:szCs w:val="24"/>
        </w:rPr>
        <w:lastRenderedPageBreak/>
        <w:t>P</w:t>
      </w:r>
      <w:r w:rsidR="001064DB" w:rsidRPr="008E3EE2">
        <w:rPr>
          <w:rFonts w:cstheme="minorHAnsi"/>
          <w:b/>
          <w:bCs/>
          <w:sz w:val="24"/>
          <w:szCs w:val="24"/>
        </w:rPr>
        <w:t xml:space="preserve">roportion of EADP’s 2023-24 funding allocated to each sector: City of Edinburgh </w:t>
      </w:r>
      <w:r w:rsidR="009D142F" w:rsidRPr="008E3EE2">
        <w:rPr>
          <w:rFonts w:cstheme="minorHAnsi"/>
          <w:b/>
          <w:bCs/>
          <w:sz w:val="24"/>
          <w:szCs w:val="24"/>
        </w:rPr>
        <w:t>C</w:t>
      </w:r>
      <w:r w:rsidR="001064DB" w:rsidRPr="008E3EE2">
        <w:rPr>
          <w:rFonts w:cstheme="minorHAnsi"/>
          <w:b/>
          <w:bCs/>
          <w:sz w:val="24"/>
          <w:szCs w:val="24"/>
        </w:rPr>
        <w:t>ouncil Third sector and NHS</w:t>
      </w:r>
    </w:p>
    <w:p w14:paraId="394E6BA7" w14:textId="47201B7A" w:rsidR="009D142F" w:rsidRPr="00C44B9C" w:rsidRDefault="009D142F" w:rsidP="008E3EE2">
      <w:pPr>
        <w:jc w:val="center"/>
        <w:rPr>
          <w:rFonts w:cstheme="minorHAnsi"/>
          <w:sz w:val="24"/>
          <w:szCs w:val="24"/>
        </w:rPr>
      </w:pPr>
      <w:r w:rsidRPr="00C44B9C">
        <w:rPr>
          <w:rFonts w:cstheme="minorHAnsi"/>
          <w:noProof/>
          <w:sz w:val="24"/>
          <w:szCs w:val="24"/>
        </w:rPr>
        <w:drawing>
          <wp:inline distT="0" distB="0" distL="0" distR="0" wp14:anchorId="35CAF67B" wp14:editId="477EF31D">
            <wp:extent cx="3869690" cy="2111829"/>
            <wp:effectExtent l="0" t="0" r="16510" b="3175"/>
            <wp:docPr id="684196993" name="Chart 1">
              <a:extLst xmlns:a="http://schemas.openxmlformats.org/drawingml/2006/main">
                <a:ext uri="{FF2B5EF4-FFF2-40B4-BE49-F238E27FC236}">
                  <a16:creationId xmlns:a16="http://schemas.microsoft.com/office/drawing/2014/main" id="{18152A33-DD0F-6DC1-57EE-9DB87C6DE2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FA4205" w14:textId="77777777" w:rsidR="00E06A92" w:rsidRDefault="00E06A92" w:rsidP="002762CD">
      <w:pPr>
        <w:rPr>
          <w:rFonts w:cstheme="minorHAnsi"/>
          <w:b/>
          <w:bCs/>
          <w:color w:val="4472C4" w:themeColor="accent1"/>
          <w:sz w:val="32"/>
          <w:szCs w:val="32"/>
        </w:rPr>
      </w:pPr>
    </w:p>
    <w:p w14:paraId="23DC6DAA" w14:textId="77777777" w:rsidR="00E06A92" w:rsidRDefault="00E06A92" w:rsidP="002762CD">
      <w:pPr>
        <w:rPr>
          <w:rFonts w:cstheme="minorHAnsi"/>
          <w:b/>
          <w:bCs/>
          <w:color w:val="4472C4" w:themeColor="accent1"/>
          <w:sz w:val="32"/>
          <w:szCs w:val="32"/>
        </w:rPr>
      </w:pPr>
      <w:r>
        <w:rPr>
          <w:rFonts w:cstheme="minorHAnsi"/>
          <w:b/>
          <w:bCs/>
          <w:color w:val="4472C4" w:themeColor="accent1"/>
          <w:sz w:val="32"/>
          <w:szCs w:val="32"/>
        </w:rPr>
        <w:t xml:space="preserve">Governance </w:t>
      </w:r>
    </w:p>
    <w:p w14:paraId="6E270C18" w14:textId="2997D232" w:rsidR="00E06A92" w:rsidRDefault="008160B0" w:rsidP="00E06A92">
      <w:pPr>
        <w:ind w:left="720" w:hanging="720"/>
        <w:rPr>
          <w:rFonts w:cstheme="minorHAnsi"/>
          <w:b/>
          <w:bCs/>
          <w:sz w:val="24"/>
          <w:szCs w:val="24"/>
        </w:rPr>
      </w:pPr>
      <w:r>
        <w:rPr>
          <w:rFonts w:cstheme="minorHAnsi"/>
          <w:sz w:val="24"/>
          <w:szCs w:val="24"/>
        </w:rPr>
        <w:t>99</w:t>
      </w:r>
      <w:r w:rsidR="00E06A92" w:rsidRPr="00E06A92">
        <w:rPr>
          <w:rFonts w:cstheme="minorHAnsi"/>
          <w:sz w:val="24"/>
          <w:szCs w:val="24"/>
        </w:rPr>
        <w:t>.</w:t>
      </w:r>
      <w:r w:rsidR="00E06A92" w:rsidRPr="00E06A92">
        <w:rPr>
          <w:rFonts w:cstheme="minorHAnsi"/>
          <w:b/>
          <w:bCs/>
          <w:sz w:val="24"/>
          <w:szCs w:val="24"/>
        </w:rPr>
        <w:tab/>
      </w:r>
      <w:r w:rsidR="00E06A92" w:rsidRPr="00E06A92">
        <w:rPr>
          <w:rFonts w:cstheme="minorHAnsi"/>
          <w:sz w:val="24"/>
          <w:szCs w:val="24"/>
        </w:rPr>
        <w:t>The EADP Executive reviewed the governance structure and refreshed the terms of reference for key groups within the governance framework.</w:t>
      </w:r>
      <w:r w:rsidR="00E06A92">
        <w:rPr>
          <w:rFonts w:cstheme="minorHAnsi"/>
          <w:b/>
          <w:bCs/>
          <w:sz w:val="24"/>
          <w:szCs w:val="24"/>
        </w:rPr>
        <w:t xml:space="preserve"> </w:t>
      </w:r>
    </w:p>
    <w:p w14:paraId="0EA23EA9" w14:textId="1A73D054" w:rsidR="00E06A92" w:rsidRPr="00E06A92" w:rsidRDefault="00E06A92" w:rsidP="00E06A92">
      <w:pPr>
        <w:rPr>
          <w:rFonts w:cstheme="minorHAnsi"/>
          <w:b/>
          <w:bCs/>
          <w:color w:val="4472C4" w:themeColor="accent1"/>
          <w:sz w:val="32"/>
          <w:szCs w:val="32"/>
        </w:rPr>
      </w:pPr>
      <w:r w:rsidRPr="00E06A92">
        <w:rPr>
          <w:rFonts w:cstheme="minorHAnsi"/>
          <w:b/>
          <w:bCs/>
          <w:color w:val="4472C4" w:themeColor="accent1"/>
          <w:sz w:val="32"/>
          <w:szCs w:val="32"/>
        </w:rPr>
        <w:t xml:space="preserve">Strategy </w:t>
      </w:r>
      <w:r>
        <w:rPr>
          <w:rFonts w:cstheme="minorHAnsi"/>
          <w:b/>
          <w:bCs/>
          <w:color w:val="4472C4" w:themeColor="accent1"/>
          <w:sz w:val="32"/>
          <w:szCs w:val="32"/>
        </w:rPr>
        <w:t>Development</w:t>
      </w:r>
    </w:p>
    <w:p w14:paraId="23D37DE5" w14:textId="485460FC" w:rsidR="00E06A92" w:rsidRPr="00C44B9C" w:rsidRDefault="00E06A92" w:rsidP="00E06A92">
      <w:pPr>
        <w:ind w:left="720" w:hanging="720"/>
        <w:rPr>
          <w:rFonts w:cstheme="minorHAnsi"/>
          <w:sz w:val="24"/>
          <w:szCs w:val="24"/>
        </w:rPr>
      </w:pPr>
      <w:r>
        <w:rPr>
          <w:rFonts w:cstheme="minorHAnsi"/>
          <w:sz w:val="24"/>
          <w:szCs w:val="24"/>
        </w:rPr>
        <w:t>10</w:t>
      </w:r>
      <w:r w:rsidR="008160B0">
        <w:rPr>
          <w:rFonts w:cstheme="minorHAnsi"/>
          <w:sz w:val="24"/>
          <w:szCs w:val="24"/>
        </w:rPr>
        <w:t>0</w:t>
      </w:r>
      <w:r>
        <w:rPr>
          <w:rFonts w:cstheme="minorHAnsi"/>
          <w:sz w:val="24"/>
          <w:szCs w:val="24"/>
        </w:rPr>
        <w:tab/>
      </w:r>
      <w:r w:rsidRPr="00C44B9C">
        <w:rPr>
          <w:rFonts w:cstheme="minorHAnsi"/>
          <w:sz w:val="24"/>
          <w:szCs w:val="24"/>
        </w:rPr>
        <w:t>All of the co-production activity generated great insights reflecting EADP’s current approach and services and thinking about future priorities and developments</w:t>
      </w:r>
      <w:r w:rsidR="00BF4E15" w:rsidRPr="00C44B9C">
        <w:rPr>
          <w:rFonts w:cstheme="minorHAnsi"/>
          <w:sz w:val="24"/>
          <w:szCs w:val="24"/>
        </w:rPr>
        <w:t xml:space="preserve">. </w:t>
      </w:r>
      <w:r w:rsidRPr="00C44B9C">
        <w:rPr>
          <w:rFonts w:cstheme="minorHAnsi"/>
          <w:sz w:val="24"/>
          <w:szCs w:val="24"/>
        </w:rPr>
        <w:t xml:space="preserve">There were also comments and suggestions on the tone, </w:t>
      </w:r>
      <w:r w:rsidR="00BF4E15" w:rsidRPr="00C44B9C">
        <w:rPr>
          <w:rFonts w:cstheme="minorHAnsi"/>
          <w:sz w:val="24"/>
          <w:szCs w:val="24"/>
        </w:rPr>
        <w:t>language,</w:t>
      </w:r>
      <w:r w:rsidRPr="00C44B9C">
        <w:rPr>
          <w:rFonts w:cstheme="minorHAnsi"/>
          <w:sz w:val="24"/>
          <w:szCs w:val="24"/>
        </w:rPr>
        <w:t xml:space="preserve"> and emphasis of the draft document</w:t>
      </w:r>
      <w:r w:rsidR="00BF4E15" w:rsidRPr="00C44B9C">
        <w:rPr>
          <w:rFonts w:cstheme="minorHAnsi"/>
          <w:sz w:val="24"/>
          <w:szCs w:val="24"/>
        </w:rPr>
        <w:t xml:space="preserve">. </w:t>
      </w:r>
    </w:p>
    <w:p w14:paraId="039176BD" w14:textId="6BA6F0E5" w:rsidR="00E06A92" w:rsidRDefault="00E06A92" w:rsidP="00E06A92">
      <w:pPr>
        <w:ind w:left="720" w:hanging="720"/>
        <w:rPr>
          <w:rFonts w:cstheme="minorHAnsi"/>
          <w:sz w:val="24"/>
          <w:szCs w:val="24"/>
        </w:rPr>
      </w:pPr>
      <w:r>
        <w:rPr>
          <w:rFonts w:cstheme="minorHAnsi"/>
          <w:sz w:val="24"/>
          <w:szCs w:val="24"/>
        </w:rPr>
        <w:t>10</w:t>
      </w:r>
      <w:r w:rsidR="008160B0">
        <w:rPr>
          <w:rFonts w:cstheme="minorHAnsi"/>
          <w:sz w:val="24"/>
          <w:szCs w:val="24"/>
        </w:rPr>
        <w:t>1</w:t>
      </w:r>
      <w:r>
        <w:rPr>
          <w:rFonts w:cstheme="minorHAnsi"/>
          <w:sz w:val="24"/>
          <w:szCs w:val="24"/>
        </w:rPr>
        <w:t>.</w:t>
      </w:r>
      <w:r>
        <w:rPr>
          <w:rFonts w:cstheme="minorHAnsi"/>
          <w:sz w:val="24"/>
          <w:szCs w:val="24"/>
        </w:rPr>
        <w:tab/>
      </w:r>
      <w:r w:rsidRPr="00C44B9C">
        <w:rPr>
          <w:rFonts w:cstheme="minorHAnsi"/>
          <w:sz w:val="24"/>
          <w:szCs w:val="24"/>
        </w:rPr>
        <w:t xml:space="preserve">The priorities in the </w:t>
      </w:r>
      <w:r>
        <w:rPr>
          <w:rFonts w:cstheme="minorHAnsi"/>
          <w:sz w:val="24"/>
          <w:szCs w:val="24"/>
        </w:rPr>
        <w:t xml:space="preserve">draft </w:t>
      </w:r>
      <w:r w:rsidRPr="00C44B9C">
        <w:rPr>
          <w:rFonts w:cstheme="minorHAnsi"/>
          <w:sz w:val="24"/>
          <w:szCs w:val="24"/>
        </w:rPr>
        <w:t>strategy have been informed by this extensive co-production process moreover there is now established a robust approach to coproduction which will continue as we further develop the strategy, performance framework and implementation of agreed actions</w:t>
      </w:r>
      <w:r w:rsidR="00BF4E15" w:rsidRPr="00C44B9C">
        <w:rPr>
          <w:rFonts w:cstheme="minorHAnsi"/>
          <w:sz w:val="24"/>
          <w:szCs w:val="24"/>
        </w:rPr>
        <w:t xml:space="preserve">. </w:t>
      </w:r>
    </w:p>
    <w:p w14:paraId="6689A09A" w14:textId="6EF73693" w:rsidR="00E06A92" w:rsidRPr="00E06A92" w:rsidRDefault="00E06A92" w:rsidP="00E06A92">
      <w:pPr>
        <w:ind w:left="720" w:hanging="720"/>
        <w:rPr>
          <w:rFonts w:cstheme="minorHAnsi"/>
          <w:b/>
          <w:bCs/>
          <w:color w:val="4472C4" w:themeColor="accent1"/>
          <w:sz w:val="32"/>
          <w:szCs w:val="32"/>
        </w:rPr>
      </w:pPr>
      <w:r w:rsidRPr="00E06A92">
        <w:rPr>
          <w:rFonts w:cstheme="minorHAnsi"/>
          <w:b/>
          <w:bCs/>
          <w:color w:val="4472C4" w:themeColor="accent1"/>
          <w:sz w:val="32"/>
          <w:szCs w:val="32"/>
        </w:rPr>
        <w:t xml:space="preserve">Performance Framework </w:t>
      </w:r>
    </w:p>
    <w:p w14:paraId="2947091C" w14:textId="71FA0962" w:rsidR="00E06A92" w:rsidRDefault="008160B0" w:rsidP="00E06A92">
      <w:pPr>
        <w:ind w:left="720" w:hanging="720"/>
        <w:rPr>
          <w:rFonts w:cstheme="minorHAnsi"/>
          <w:sz w:val="24"/>
          <w:szCs w:val="24"/>
        </w:rPr>
      </w:pPr>
      <w:r>
        <w:rPr>
          <w:rFonts w:cstheme="minorHAnsi"/>
          <w:sz w:val="24"/>
          <w:szCs w:val="24"/>
        </w:rPr>
        <w:t>102.</w:t>
      </w:r>
      <w:r>
        <w:rPr>
          <w:rFonts w:cstheme="minorHAnsi"/>
          <w:sz w:val="24"/>
          <w:szCs w:val="24"/>
        </w:rPr>
        <w:tab/>
      </w:r>
      <w:r w:rsidR="00E06A92">
        <w:rPr>
          <w:rFonts w:cstheme="minorHAnsi"/>
          <w:sz w:val="24"/>
          <w:szCs w:val="24"/>
        </w:rPr>
        <w:t>Our review of governance included a refreshment of the performance framework</w:t>
      </w:r>
      <w:r w:rsidR="00BF4E15">
        <w:rPr>
          <w:rFonts w:cstheme="minorHAnsi"/>
          <w:sz w:val="24"/>
          <w:szCs w:val="24"/>
        </w:rPr>
        <w:t xml:space="preserve">. </w:t>
      </w:r>
      <w:r w:rsidR="00E06A92">
        <w:rPr>
          <w:rFonts w:cstheme="minorHAnsi"/>
          <w:sz w:val="24"/>
          <w:szCs w:val="24"/>
        </w:rPr>
        <w:t xml:space="preserve">Appendix One sets out </w:t>
      </w:r>
      <w:r>
        <w:rPr>
          <w:rFonts w:cstheme="minorHAnsi"/>
          <w:sz w:val="24"/>
          <w:szCs w:val="24"/>
        </w:rPr>
        <w:t xml:space="preserve">our performance </w:t>
      </w:r>
      <w:r w:rsidR="008E3EE2">
        <w:rPr>
          <w:rFonts w:cstheme="minorHAnsi"/>
          <w:sz w:val="24"/>
          <w:szCs w:val="24"/>
        </w:rPr>
        <w:t>against key</w:t>
      </w:r>
      <w:r w:rsidR="00E06A92">
        <w:rPr>
          <w:rFonts w:cstheme="minorHAnsi"/>
          <w:sz w:val="24"/>
          <w:szCs w:val="24"/>
        </w:rPr>
        <w:t xml:space="preserve"> indicators</w:t>
      </w:r>
      <w:r w:rsidR="00BF4E15">
        <w:rPr>
          <w:rFonts w:cstheme="minorHAnsi"/>
          <w:sz w:val="24"/>
          <w:szCs w:val="24"/>
        </w:rPr>
        <w:t xml:space="preserve">. </w:t>
      </w:r>
    </w:p>
    <w:p w14:paraId="16F96F78" w14:textId="2BAE9A4D" w:rsidR="00BF4E15" w:rsidRDefault="008160B0" w:rsidP="00E06A92">
      <w:pPr>
        <w:ind w:left="720" w:hanging="720"/>
        <w:rPr>
          <w:rFonts w:cstheme="minorHAnsi"/>
          <w:sz w:val="24"/>
          <w:szCs w:val="24"/>
        </w:rPr>
      </w:pPr>
      <w:r>
        <w:rPr>
          <w:rFonts w:cstheme="minorHAnsi"/>
          <w:sz w:val="24"/>
          <w:szCs w:val="24"/>
        </w:rPr>
        <w:t>103.</w:t>
      </w:r>
      <w:r>
        <w:rPr>
          <w:rFonts w:cstheme="minorHAnsi"/>
          <w:sz w:val="24"/>
          <w:szCs w:val="24"/>
        </w:rPr>
        <w:tab/>
        <w:t>The key performance framework will be refreshed in li</w:t>
      </w:r>
      <w:r w:rsidR="008E3EE2">
        <w:rPr>
          <w:rFonts w:cstheme="minorHAnsi"/>
          <w:sz w:val="24"/>
          <w:szCs w:val="24"/>
        </w:rPr>
        <w:t>ne</w:t>
      </w:r>
      <w:r>
        <w:rPr>
          <w:rFonts w:cstheme="minorHAnsi"/>
          <w:sz w:val="24"/>
          <w:szCs w:val="24"/>
        </w:rPr>
        <w:t xml:space="preserve"> with the emerging strategy</w:t>
      </w:r>
      <w:r w:rsidR="00BF4E15">
        <w:rPr>
          <w:rFonts w:cstheme="minorHAnsi"/>
          <w:sz w:val="24"/>
          <w:szCs w:val="24"/>
        </w:rPr>
        <w:t xml:space="preserve">. </w:t>
      </w:r>
    </w:p>
    <w:p w14:paraId="64623AFC" w14:textId="77777777" w:rsidR="00BF4E15" w:rsidRDefault="00BF4E15">
      <w:pPr>
        <w:rPr>
          <w:rFonts w:cstheme="minorHAnsi"/>
          <w:sz w:val="24"/>
          <w:szCs w:val="24"/>
        </w:rPr>
      </w:pPr>
      <w:r>
        <w:rPr>
          <w:rFonts w:cstheme="minorHAnsi"/>
          <w:sz w:val="24"/>
          <w:szCs w:val="24"/>
        </w:rPr>
        <w:br w:type="page"/>
      </w:r>
    </w:p>
    <w:p w14:paraId="6F98237B" w14:textId="77777777" w:rsidR="00BF4E15" w:rsidRPr="00BF4E15" w:rsidRDefault="00BF4E15" w:rsidP="00BF4E15">
      <w:pPr>
        <w:spacing w:after="0" w:line="240" w:lineRule="auto"/>
        <w:rPr>
          <w:rFonts w:cstheme="minorHAnsi"/>
          <w:color w:val="0070C0"/>
          <w:sz w:val="28"/>
          <w:szCs w:val="28"/>
        </w:rPr>
      </w:pPr>
      <w:r w:rsidRPr="00BF4E15">
        <w:rPr>
          <w:rFonts w:cstheme="minorHAnsi"/>
          <w:color w:val="0070C0"/>
          <w:sz w:val="28"/>
          <w:szCs w:val="28"/>
        </w:rPr>
        <w:lastRenderedPageBreak/>
        <w:t>Appendix 1: EADP Performance Summary April 2023 – March 2024</w:t>
      </w:r>
    </w:p>
    <w:p w14:paraId="3A96115B" w14:textId="77777777" w:rsidR="00BF4E15" w:rsidRPr="00BF4E15" w:rsidRDefault="00BF4E15" w:rsidP="00BF4E15">
      <w:pPr>
        <w:spacing w:after="0" w:line="240" w:lineRule="auto"/>
        <w:rPr>
          <w:rFonts w:cstheme="minorHAnsi"/>
          <w:i/>
          <w:iCs/>
        </w:rPr>
      </w:pPr>
      <w:r w:rsidRPr="00BF4E15">
        <w:rPr>
          <w:rFonts w:cstheme="minorHAnsi"/>
          <w:i/>
          <w:iCs/>
        </w:rPr>
        <w:t xml:space="preserve">Data to quarter 4 2023-24 unless otherwise stated </w:t>
      </w:r>
    </w:p>
    <w:p w14:paraId="2A24AAA6" w14:textId="77777777" w:rsidR="00BF4E15" w:rsidRPr="00BF4E15" w:rsidRDefault="00BF4E15" w:rsidP="00BF4E15">
      <w:pPr>
        <w:spacing w:after="0" w:line="240" w:lineRule="auto"/>
        <w:rPr>
          <w:rFonts w:cstheme="minorHAnsi"/>
        </w:rPr>
      </w:pPr>
    </w:p>
    <w:p w14:paraId="703E07DA" w14:textId="77777777" w:rsidR="00BF4E15" w:rsidRDefault="00BF4E15" w:rsidP="00BF4E15">
      <w:pPr>
        <w:spacing w:after="0" w:line="240" w:lineRule="auto"/>
        <w:rPr>
          <w:rFonts w:cstheme="minorHAnsi"/>
          <w:b/>
          <w:bCs/>
          <w:color w:val="4472C4" w:themeColor="accent1"/>
        </w:rPr>
      </w:pPr>
      <w:r w:rsidRPr="00BF4E15">
        <w:rPr>
          <w:rFonts w:cstheme="minorHAnsi"/>
          <w:b/>
          <w:bCs/>
          <w:color w:val="4472C4" w:themeColor="accent1"/>
        </w:rPr>
        <w:t>Prevention and early intervention</w:t>
      </w:r>
    </w:p>
    <w:p w14:paraId="6E316E4E" w14:textId="77777777" w:rsidR="00BF4E15" w:rsidRDefault="00BF4E15" w:rsidP="00BF4E15">
      <w:pPr>
        <w:spacing w:after="0" w:line="240" w:lineRule="auto"/>
        <w:rPr>
          <w:rFonts w:cstheme="minorHAnsi"/>
        </w:rPr>
      </w:pPr>
    </w:p>
    <w:p w14:paraId="5BB36CEF" w14:textId="79618784" w:rsidR="00BF4E15" w:rsidRPr="00BF4E15" w:rsidRDefault="00BF4E15" w:rsidP="00BF4E15">
      <w:pPr>
        <w:spacing w:after="0" w:line="240" w:lineRule="auto"/>
        <w:rPr>
          <w:rFonts w:cstheme="minorHAnsi"/>
        </w:rPr>
      </w:pPr>
      <w:r w:rsidRPr="00BF4E15">
        <w:rPr>
          <w:rFonts w:cstheme="minorHAnsi"/>
        </w:rPr>
        <w:t>KPI</w:t>
      </w:r>
      <w:r>
        <w:rPr>
          <w:rFonts w:cstheme="minorHAnsi"/>
        </w:rPr>
        <w:t>:</w:t>
      </w:r>
      <w:r w:rsidRPr="00BF4E15">
        <w:rPr>
          <w:rFonts w:cstheme="minorHAnsi"/>
        </w:rPr>
        <w:t xml:space="preserve"> Number of YP supported through commissioned services</w:t>
      </w:r>
    </w:p>
    <w:p w14:paraId="0D66E35F" w14:textId="77777777" w:rsidR="00BF4E15" w:rsidRPr="00BF4E15" w:rsidRDefault="00BF4E15" w:rsidP="00BF4E15">
      <w:pPr>
        <w:spacing w:after="0" w:line="240" w:lineRule="auto"/>
        <w:rPr>
          <w:rFonts w:cstheme="minorHAnsi"/>
        </w:rPr>
      </w:pPr>
    </w:p>
    <w:p w14:paraId="3F2D5F1F" w14:textId="77777777" w:rsidR="00BF4E15" w:rsidRPr="00BF4E15" w:rsidRDefault="00BF4E15" w:rsidP="00BF4E15">
      <w:pPr>
        <w:spacing w:after="0" w:line="240" w:lineRule="auto"/>
        <w:rPr>
          <w:rFonts w:cstheme="minorHAnsi"/>
          <w:b/>
          <w:bCs/>
        </w:rPr>
      </w:pPr>
      <w:r w:rsidRPr="00BF4E15">
        <w:rPr>
          <w:rFonts w:cstheme="minorHAnsi"/>
          <w:b/>
          <w:bCs/>
        </w:rPr>
        <w:t>Low threshold access</w:t>
      </w:r>
    </w:p>
    <w:p w14:paraId="4AA6F729" w14:textId="77777777" w:rsidR="00BF4E15" w:rsidRPr="00BF4E15" w:rsidRDefault="00BF4E15" w:rsidP="00BF4E15">
      <w:pPr>
        <w:spacing w:after="0" w:line="240" w:lineRule="auto"/>
        <w:rPr>
          <w:rFonts w:cstheme="minorHAnsi"/>
          <w:b/>
          <w:bCs/>
        </w:rPr>
      </w:pPr>
    </w:p>
    <w:p w14:paraId="0264C401" w14:textId="77777777" w:rsidR="00BF4E15" w:rsidRPr="00BF4E15" w:rsidRDefault="00BF4E15" w:rsidP="00BF4E15">
      <w:pPr>
        <w:spacing w:after="0" w:line="240" w:lineRule="auto"/>
        <w:rPr>
          <w:rFonts w:cstheme="minorHAnsi"/>
          <w:b/>
          <w:bCs/>
        </w:rPr>
      </w:pPr>
      <w:r w:rsidRPr="00BF4E15">
        <w:rPr>
          <w:rFonts w:cstheme="minorHAnsi"/>
          <w:b/>
          <w:bCs/>
        </w:rPr>
        <w:t>Crew</w:t>
      </w:r>
    </w:p>
    <w:p w14:paraId="6EC00140" w14:textId="77777777" w:rsidR="00BF4E15" w:rsidRPr="00BF4E15" w:rsidRDefault="00BF4E15" w:rsidP="00BF4E15">
      <w:pPr>
        <w:numPr>
          <w:ilvl w:val="0"/>
          <w:numId w:val="34"/>
        </w:numPr>
        <w:spacing w:after="0" w:line="240" w:lineRule="auto"/>
        <w:contextualSpacing/>
        <w:rPr>
          <w:rFonts w:cstheme="minorHAnsi"/>
        </w:rPr>
      </w:pPr>
      <w:r w:rsidRPr="00BF4E15">
        <w:rPr>
          <w:rFonts w:cstheme="minorHAnsi"/>
        </w:rPr>
        <w:t>4,659 people engaged in Drop-in Services.</w:t>
      </w:r>
    </w:p>
    <w:p w14:paraId="56FCD881" w14:textId="77777777" w:rsidR="00BF4E15" w:rsidRPr="00BF4E15" w:rsidRDefault="00BF4E15" w:rsidP="00BF4E15">
      <w:pPr>
        <w:numPr>
          <w:ilvl w:val="0"/>
          <w:numId w:val="19"/>
        </w:numPr>
        <w:spacing w:after="0" w:line="240" w:lineRule="auto"/>
        <w:contextualSpacing/>
        <w:rPr>
          <w:rFonts w:cstheme="minorHAnsi"/>
        </w:rPr>
      </w:pPr>
      <w:r w:rsidRPr="00BF4E15">
        <w:rPr>
          <w:rFonts w:cstheme="minorHAnsi"/>
        </w:rPr>
        <w:t>3,455 visitors to our 307 Cockburn St/Digital Drop-in sessions 2,246 aged between 12 and 25 years old.</w:t>
      </w:r>
    </w:p>
    <w:p w14:paraId="3D0ABF21" w14:textId="77777777" w:rsidR="00BF4E15" w:rsidRPr="00BF4E15" w:rsidRDefault="00BF4E15" w:rsidP="00BF4E15">
      <w:pPr>
        <w:numPr>
          <w:ilvl w:val="0"/>
          <w:numId w:val="19"/>
        </w:numPr>
        <w:spacing w:after="0" w:line="240" w:lineRule="auto"/>
        <w:contextualSpacing/>
        <w:rPr>
          <w:rFonts w:cstheme="minorHAnsi"/>
        </w:rPr>
      </w:pPr>
      <w:r w:rsidRPr="00BF4E15">
        <w:rPr>
          <w:rFonts w:cstheme="minorHAnsi"/>
        </w:rPr>
        <w:t>1,195 people engaged in community-based outreach events.</w:t>
      </w:r>
    </w:p>
    <w:p w14:paraId="60532EE7" w14:textId="77777777" w:rsidR="00BF4E15" w:rsidRPr="00BF4E15" w:rsidRDefault="00BF4E15" w:rsidP="00BF4E15">
      <w:pPr>
        <w:numPr>
          <w:ilvl w:val="0"/>
          <w:numId w:val="19"/>
        </w:numPr>
        <w:spacing w:after="0" w:line="240" w:lineRule="auto"/>
        <w:contextualSpacing/>
        <w:rPr>
          <w:rFonts w:cstheme="minorHAnsi"/>
        </w:rPr>
      </w:pPr>
      <w:r w:rsidRPr="00BF4E15">
        <w:rPr>
          <w:rFonts w:cstheme="minorHAnsi"/>
        </w:rPr>
        <w:t>9 referrals made to YP 1-2-1 Support Service with 3 engaging in sessions.</w:t>
      </w:r>
    </w:p>
    <w:p w14:paraId="723B2C8E" w14:textId="77777777" w:rsidR="00BF4E15" w:rsidRPr="00BF4E15" w:rsidRDefault="00BF4E15" w:rsidP="00BF4E15">
      <w:pPr>
        <w:spacing w:after="0" w:line="240" w:lineRule="auto"/>
        <w:rPr>
          <w:rFonts w:cstheme="minorHAnsi"/>
          <w:b/>
          <w:bCs/>
        </w:rPr>
      </w:pPr>
    </w:p>
    <w:p w14:paraId="63293F37" w14:textId="77777777" w:rsidR="00BF4E15" w:rsidRPr="00BF4E15" w:rsidRDefault="00BF4E15" w:rsidP="00BF4E15">
      <w:pPr>
        <w:spacing w:after="0" w:line="240" w:lineRule="auto"/>
        <w:rPr>
          <w:rFonts w:cstheme="minorHAnsi"/>
          <w:b/>
          <w:bCs/>
        </w:rPr>
      </w:pPr>
      <w:r w:rsidRPr="00BF4E15">
        <w:rPr>
          <w:rFonts w:cstheme="minorHAnsi"/>
          <w:b/>
          <w:bCs/>
        </w:rPr>
        <w:t xml:space="preserve">The Junction </w:t>
      </w:r>
    </w:p>
    <w:p w14:paraId="406B1618" w14:textId="77777777" w:rsidR="00BF4E15" w:rsidRPr="00BF4E15" w:rsidRDefault="00BF4E15" w:rsidP="00BF4E15">
      <w:pPr>
        <w:numPr>
          <w:ilvl w:val="0"/>
          <w:numId w:val="35"/>
        </w:numPr>
        <w:spacing w:after="0" w:line="240" w:lineRule="auto"/>
        <w:contextualSpacing/>
        <w:rPr>
          <w:rFonts w:cstheme="minorHAnsi"/>
        </w:rPr>
      </w:pPr>
      <w:r w:rsidRPr="00BF4E15">
        <w:rPr>
          <w:rFonts w:cstheme="minorHAnsi"/>
        </w:rPr>
        <w:t xml:space="preserve">45 sessions </w:t>
      </w:r>
    </w:p>
    <w:p w14:paraId="673B6CE2" w14:textId="77777777" w:rsidR="00BF4E15" w:rsidRPr="00BF4E15" w:rsidRDefault="00BF4E15" w:rsidP="00BF4E15">
      <w:pPr>
        <w:numPr>
          <w:ilvl w:val="0"/>
          <w:numId w:val="35"/>
        </w:numPr>
        <w:spacing w:after="0" w:line="240" w:lineRule="auto"/>
        <w:contextualSpacing/>
        <w:rPr>
          <w:rFonts w:eastAsia="Times New Roman" w:cstheme="minorHAnsi"/>
          <w:b/>
          <w:bCs/>
          <w:color w:val="000000"/>
        </w:rPr>
      </w:pPr>
      <w:r w:rsidRPr="00BF4E15">
        <w:rPr>
          <w:rFonts w:cstheme="minorHAnsi"/>
        </w:rPr>
        <w:t>Direct engagement with 13 young people related to substance use over 34 sessions</w:t>
      </w:r>
    </w:p>
    <w:p w14:paraId="6DCD15F5" w14:textId="77777777" w:rsidR="00BF4E15" w:rsidRPr="00BF4E15" w:rsidRDefault="00BF4E15" w:rsidP="00BF4E15">
      <w:pPr>
        <w:spacing w:after="0" w:line="240" w:lineRule="auto"/>
        <w:rPr>
          <w:rFonts w:eastAsia="Times New Roman" w:cstheme="minorHAnsi"/>
          <w:b/>
          <w:bCs/>
          <w:color w:val="000000"/>
        </w:rPr>
      </w:pPr>
    </w:p>
    <w:p w14:paraId="3520D439" w14:textId="77777777" w:rsidR="00BF4E15" w:rsidRPr="00BF4E15" w:rsidRDefault="00BF4E15" w:rsidP="00BF4E15">
      <w:pPr>
        <w:spacing w:after="0" w:line="240" w:lineRule="auto"/>
        <w:rPr>
          <w:rFonts w:cstheme="minorHAnsi"/>
        </w:rPr>
      </w:pPr>
    </w:p>
    <w:p w14:paraId="477A6D57" w14:textId="77777777" w:rsidR="00BF4E15" w:rsidRPr="00BF4E15" w:rsidRDefault="00BF4E15" w:rsidP="00BF4E15">
      <w:pPr>
        <w:spacing w:after="0" w:line="240" w:lineRule="auto"/>
        <w:rPr>
          <w:rFonts w:cstheme="minorHAnsi"/>
          <w:b/>
          <w:bCs/>
        </w:rPr>
      </w:pPr>
      <w:r w:rsidRPr="00BF4E15">
        <w:rPr>
          <w:rFonts w:cstheme="minorHAnsi"/>
          <w:b/>
          <w:bCs/>
        </w:rPr>
        <w:t>Education and Prevention</w:t>
      </w:r>
    </w:p>
    <w:p w14:paraId="3EC18C41" w14:textId="77777777" w:rsidR="00BF4E15" w:rsidRPr="00BF4E15" w:rsidRDefault="00BF4E15" w:rsidP="00BF4E15">
      <w:pPr>
        <w:spacing w:after="0" w:line="240" w:lineRule="auto"/>
        <w:rPr>
          <w:rFonts w:cstheme="minorHAnsi"/>
          <w:b/>
          <w:bCs/>
        </w:rPr>
      </w:pPr>
    </w:p>
    <w:p w14:paraId="222E77CD" w14:textId="77777777" w:rsidR="00BF4E15" w:rsidRPr="00BF4E15" w:rsidRDefault="00BF4E15" w:rsidP="00BF4E15">
      <w:pPr>
        <w:spacing w:after="0" w:line="240" w:lineRule="auto"/>
        <w:rPr>
          <w:rFonts w:cstheme="minorHAnsi"/>
          <w:b/>
          <w:bCs/>
        </w:rPr>
      </w:pPr>
      <w:r w:rsidRPr="00BF4E15">
        <w:rPr>
          <w:rFonts w:cstheme="minorHAnsi"/>
          <w:b/>
          <w:bCs/>
        </w:rPr>
        <w:t>The Junction</w:t>
      </w:r>
    </w:p>
    <w:p w14:paraId="6BB6B34F" w14:textId="77777777" w:rsidR="00BF4E15" w:rsidRPr="00BF4E15" w:rsidRDefault="00BF4E15" w:rsidP="00BF4E15">
      <w:pPr>
        <w:numPr>
          <w:ilvl w:val="0"/>
          <w:numId w:val="38"/>
        </w:numPr>
        <w:spacing w:after="0" w:line="240" w:lineRule="auto"/>
        <w:contextualSpacing/>
        <w:rPr>
          <w:rFonts w:cstheme="minorHAnsi"/>
        </w:rPr>
      </w:pPr>
      <w:r w:rsidRPr="00BF4E15">
        <w:rPr>
          <w:rFonts w:cstheme="minorHAnsi"/>
        </w:rPr>
        <w:t>41 sessions delivered to 627 young people with 1,065 contacts</w:t>
      </w:r>
    </w:p>
    <w:p w14:paraId="5B09D49C" w14:textId="77777777" w:rsidR="00BF4E15" w:rsidRPr="00BF4E15" w:rsidRDefault="00BF4E15" w:rsidP="00BF4E15">
      <w:pPr>
        <w:spacing w:after="0" w:line="240" w:lineRule="auto"/>
        <w:ind w:left="360" w:hanging="360"/>
        <w:contextualSpacing/>
        <w:rPr>
          <w:rFonts w:cstheme="minorHAnsi"/>
        </w:rPr>
      </w:pPr>
      <w:r w:rsidRPr="00BF4E15">
        <w:rPr>
          <w:rFonts w:cstheme="minorHAnsi"/>
          <w:b/>
          <w:bCs/>
        </w:rPr>
        <w:t>Fast Forward Going Forward project</w:t>
      </w:r>
      <w:r w:rsidRPr="00BF4E15">
        <w:rPr>
          <w:rFonts w:cstheme="minorHAnsi"/>
        </w:rPr>
        <w:t xml:space="preserve"> </w:t>
      </w:r>
    </w:p>
    <w:p w14:paraId="232E48B4" w14:textId="77777777" w:rsidR="00BF4E15" w:rsidRPr="00BF4E15" w:rsidRDefault="00BF4E15" w:rsidP="00BF4E15">
      <w:pPr>
        <w:numPr>
          <w:ilvl w:val="0"/>
          <w:numId w:val="37"/>
        </w:numPr>
        <w:spacing w:after="0" w:line="240" w:lineRule="auto"/>
        <w:contextualSpacing/>
        <w:rPr>
          <w:rFonts w:cstheme="minorHAnsi"/>
        </w:rPr>
      </w:pPr>
      <w:r w:rsidRPr="00BF4E15">
        <w:rPr>
          <w:rFonts w:cstheme="minorHAnsi"/>
        </w:rPr>
        <w:t xml:space="preserve">102 sessions delivered to 662 young people with1,884 contacts. </w:t>
      </w:r>
    </w:p>
    <w:p w14:paraId="41A7E7AC" w14:textId="3C782CEA" w:rsidR="00BF4E15" w:rsidRPr="00BF4E15" w:rsidRDefault="00BF4E15" w:rsidP="00BF4E15">
      <w:pPr>
        <w:numPr>
          <w:ilvl w:val="0"/>
          <w:numId w:val="37"/>
        </w:numPr>
        <w:spacing w:after="0" w:line="240" w:lineRule="auto"/>
        <w:contextualSpacing/>
        <w:rPr>
          <w:rFonts w:cstheme="minorHAnsi"/>
        </w:rPr>
      </w:pPr>
      <w:r w:rsidRPr="00BF4E15">
        <w:rPr>
          <w:rFonts w:cstheme="minorHAnsi"/>
        </w:rPr>
        <w:t xml:space="preserve">engaged with 103 practitioners on drug and alcohol use and provided free lesson plans, toolkits, and resources. </w:t>
      </w:r>
    </w:p>
    <w:p w14:paraId="616F99DC" w14:textId="77777777" w:rsidR="00BF4E15" w:rsidRPr="00BF4E15" w:rsidRDefault="00BF4E15" w:rsidP="00BF4E15">
      <w:pPr>
        <w:numPr>
          <w:ilvl w:val="0"/>
          <w:numId w:val="37"/>
        </w:numPr>
        <w:spacing w:after="0" w:line="240" w:lineRule="auto"/>
        <w:contextualSpacing/>
        <w:rPr>
          <w:rFonts w:cstheme="minorHAnsi"/>
        </w:rPr>
      </w:pPr>
      <w:r w:rsidRPr="00BF4E15">
        <w:rPr>
          <w:rFonts w:cstheme="minorHAnsi"/>
        </w:rPr>
        <w:t xml:space="preserve">Worked with 29 partner agencies </w:t>
      </w:r>
    </w:p>
    <w:p w14:paraId="116E67BD" w14:textId="77777777" w:rsidR="00BF4E15" w:rsidRPr="00BF4E15" w:rsidRDefault="00BF4E15" w:rsidP="00BF4E15">
      <w:pPr>
        <w:spacing w:after="0" w:line="240" w:lineRule="auto"/>
        <w:rPr>
          <w:rFonts w:cstheme="minorHAnsi"/>
        </w:rPr>
      </w:pPr>
    </w:p>
    <w:p w14:paraId="538E76D4" w14:textId="77777777" w:rsidR="00BF4E15" w:rsidRPr="00BF4E15" w:rsidRDefault="00BF4E15" w:rsidP="00BF4E15">
      <w:pPr>
        <w:spacing w:after="0" w:line="240" w:lineRule="auto"/>
        <w:rPr>
          <w:rFonts w:cstheme="minorHAnsi"/>
          <w:color w:val="0070C0"/>
        </w:rPr>
      </w:pPr>
      <w:r w:rsidRPr="00BF4E15">
        <w:rPr>
          <w:rFonts w:cstheme="minorHAnsi"/>
          <w:color w:val="0070C0"/>
        </w:rPr>
        <w:t>Developing a Recovery orientated system of care</w:t>
      </w:r>
    </w:p>
    <w:p w14:paraId="1B71938F" w14:textId="77777777" w:rsidR="00BF4E15" w:rsidRPr="00BF4E15" w:rsidRDefault="00BF4E15" w:rsidP="00BF4E15">
      <w:pPr>
        <w:spacing w:after="0" w:line="240" w:lineRule="auto"/>
        <w:rPr>
          <w:rFonts w:cstheme="minorHAnsi"/>
        </w:rPr>
      </w:pPr>
    </w:p>
    <w:p w14:paraId="6F36A80B" w14:textId="77777777" w:rsidR="00BF4E15" w:rsidRPr="00BF4E15" w:rsidRDefault="00BF4E15" w:rsidP="00BF4E15">
      <w:pPr>
        <w:spacing w:after="0" w:line="240" w:lineRule="auto"/>
        <w:rPr>
          <w:rFonts w:cstheme="minorHAnsi"/>
          <w:b/>
          <w:bCs/>
        </w:rPr>
      </w:pPr>
      <w:r w:rsidRPr="00BF4E15">
        <w:rPr>
          <w:rFonts w:cstheme="minorHAnsi"/>
          <w:b/>
          <w:bCs/>
        </w:rPr>
        <w:t>KPI: Total number of people in drugs treatment</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794"/>
        <w:gridCol w:w="794"/>
        <w:gridCol w:w="794"/>
        <w:gridCol w:w="793"/>
        <w:gridCol w:w="794"/>
        <w:gridCol w:w="794"/>
        <w:gridCol w:w="794"/>
        <w:gridCol w:w="793"/>
        <w:gridCol w:w="794"/>
        <w:gridCol w:w="794"/>
        <w:gridCol w:w="794"/>
      </w:tblGrid>
      <w:tr w:rsidR="008C47DA" w:rsidRPr="008C47DA" w14:paraId="455F5C9D" w14:textId="77777777" w:rsidTr="008C47DA">
        <w:trPr>
          <w:trHeight w:val="358"/>
        </w:trPr>
        <w:tc>
          <w:tcPr>
            <w:tcW w:w="3175" w:type="dxa"/>
            <w:gridSpan w:val="4"/>
            <w:tcBorders>
              <w:top w:val="single" w:sz="4" w:space="0" w:color="auto"/>
              <w:left w:val="single" w:sz="4" w:space="0" w:color="auto"/>
              <w:bottom w:val="single" w:sz="4" w:space="0" w:color="auto"/>
              <w:right w:val="single" w:sz="4" w:space="0" w:color="auto"/>
            </w:tcBorders>
            <w:noWrap/>
            <w:vAlign w:val="bottom"/>
            <w:hideMark/>
          </w:tcPr>
          <w:p w14:paraId="60898D8E" w14:textId="77777777" w:rsidR="008C47DA" w:rsidRPr="008C47DA" w:rsidRDefault="008C47DA" w:rsidP="008C47DA">
            <w:pPr>
              <w:spacing w:after="0" w:line="240" w:lineRule="auto"/>
              <w:jc w:val="center"/>
              <w:rPr>
                <w:rFonts w:cstheme="minorHAnsi"/>
              </w:rPr>
            </w:pPr>
            <w:r w:rsidRPr="008C47DA">
              <w:rPr>
                <w:rFonts w:cstheme="minorHAnsi"/>
              </w:rPr>
              <w:t>FY 2021/22</w:t>
            </w:r>
          </w:p>
        </w:tc>
        <w:tc>
          <w:tcPr>
            <w:tcW w:w="3175" w:type="dxa"/>
            <w:gridSpan w:val="4"/>
            <w:tcBorders>
              <w:top w:val="single" w:sz="4" w:space="0" w:color="auto"/>
              <w:left w:val="single" w:sz="4" w:space="0" w:color="auto"/>
              <w:bottom w:val="single" w:sz="4" w:space="0" w:color="auto"/>
              <w:right w:val="single" w:sz="4" w:space="0" w:color="auto"/>
            </w:tcBorders>
            <w:noWrap/>
            <w:vAlign w:val="bottom"/>
            <w:hideMark/>
          </w:tcPr>
          <w:p w14:paraId="18087D45" w14:textId="77777777" w:rsidR="008C47DA" w:rsidRPr="008C47DA" w:rsidRDefault="008C47DA" w:rsidP="008C47DA">
            <w:pPr>
              <w:spacing w:after="0" w:line="240" w:lineRule="auto"/>
              <w:jc w:val="center"/>
              <w:rPr>
                <w:rFonts w:cstheme="minorHAnsi"/>
              </w:rPr>
            </w:pPr>
            <w:r w:rsidRPr="008C47DA">
              <w:rPr>
                <w:rFonts w:cstheme="minorHAnsi"/>
              </w:rPr>
              <w:t>FY 2022/23</w:t>
            </w:r>
          </w:p>
        </w:tc>
        <w:tc>
          <w:tcPr>
            <w:tcW w:w="3175" w:type="dxa"/>
            <w:gridSpan w:val="4"/>
            <w:tcBorders>
              <w:top w:val="single" w:sz="4" w:space="0" w:color="auto"/>
              <w:left w:val="single" w:sz="4" w:space="0" w:color="auto"/>
              <w:bottom w:val="single" w:sz="4" w:space="0" w:color="auto"/>
              <w:right w:val="single" w:sz="4" w:space="0" w:color="auto"/>
            </w:tcBorders>
            <w:noWrap/>
            <w:vAlign w:val="bottom"/>
            <w:hideMark/>
          </w:tcPr>
          <w:p w14:paraId="18BA7D23" w14:textId="77777777" w:rsidR="008C47DA" w:rsidRPr="008C47DA" w:rsidRDefault="008C47DA" w:rsidP="008C47DA">
            <w:pPr>
              <w:spacing w:after="0" w:line="240" w:lineRule="auto"/>
              <w:jc w:val="center"/>
              <w:rPr>
                <w:rFonts w:cstheme="minorHAnsi"/>
              </w:rPr>
            </w:pPr>
            <w:r w:rsidRPr="008C47DA">
              <w:rPr>
                <w:rFonts w:cstheme="minorHAnsi"/>
              </w:rPr>
              <w:t>FY 2023/24</w:t>
            </w:r>
          </w:p>
        </w:tc>
      </w:tr>
      <w:tr w:rsidR="008C47DA" w:rsidRPr="008C47DA" w14:paraId="3F1BEB1A" w14:textId="77777777" w:rsidTr="008C47DA">
        <w:trPr>
          <w:trHeight w:val="358"/>
        </w:trPr>
        <w:tc>
          <w:tcPr>
            <w:tcW w:w="793" w:type="dxa"/>
            <w:tcBorders>
              <w:top w:val="single" w:sz="4" w:space="0" w:color="auto"/>
              <w:left w:val="single" w:sz="4" w:space="0" w:color="auto"/>
              <w:bottom w:val="single" w:sz="4" w:space="0" w:color="auto"/>
              <w:right w:val="single" w:sz="4" w:space="0" w:color="auto"/>
            </w:tcBorders>
            <w:noWrap/>
            <w:vAlign w:val="bottom"/>
            <w:hideMark/>
          </w:tcPr>
          <w:p w14:paraId="7670D603" w14:textId="77777777" w:rsidR="008C47DA" w:rsidRPr="008C47DA" w:rsidRDefault="008C47DA" w:rsidP="008C47DA">
            <w:pPr>
              <w:spacing w:after="0" w:line="240" w:lineRule="auto"/>
              <w:rPr>
                <w:rFonts w:cstheme="minorHAnsi"/>
              </w:rPr>
            </w:pPr>
            <w:r w:rsidRPr="008C47DA">
              <w:rPr>
                <w:rFonts w:cstheme="minorHAnsi"/>
              </w:rPr>
              <w:t>Q1</w:t>
            </w: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61CF2F44" w14:textId="77777777" w:rsidR="008C47DA" w:rsidRPr="008C47DA" w:rsidRDefault="008C47DA" w:rsidP="008C47DA">
            <w:pPr>
              <w:spacing w:after="0" w:line="240" w:lineRule="auto"/>
              <w:rPr>
                <w:rFonts w:cstheme="minorHAnsi"/>
              </w:rPr>
            </w:pPr>
            <w:r w:rsidRPr="008C47DA">
              <w:rPr>
                <w:rFonts w:cstheme="minorHAnsi"/>
              </w:rPr>
              <w:t>Q2</w:t>
            </w: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64553F68" w14:textId="77777777" w:rsidR="008C47DA" w:rsidRPr="008C47DA" w:rsidRDefault="008C47DA" w:rsidP="008C47DA">
            <w:pPr>
              <w:spacing w:after="0" w:line="240" w:lineRule="auto"/>
              <w:rPr>
                <w:rFonts w:cstheme="minorHAnsi"/>
              </w:rPr>
            </w:pPr>
            <w:r w:rsidRPr="008C47DA">
              <w:rPr>
                <w:rFonts w:cstheme="minorHAnsi"/>
              </w:rPr>
              <w:t>Q3</w:t>
            </w: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356E74B7" w14:textId="77777777" w:rsidR="008C47DA" w:rsidRPr="008C47DA" w:rsidRDefault="008C47DA" w:rsidP="008C47DA">
            <w:pPr>
              <w:spacing w:after="0" w:line="240" w:lineRule="auto"/>
              <w:rPr>
                <w:rFonts w:cstheme="minorHAnsi"/>
              </w:rPr>
            </w:pPr>
            <w:r w:rsidRPr="008C47DA">
              <w:rPr>
                <w:rFonts w:cstheme="minorHAnsi"/>
              </w:rPr>
              <w:t>Q4</w:t>
            </w:r>
          </w:p>
        </w:tc>
        <w:tc>
          <w:tcPr>
            <w:tcW w:w="793" w:type="dxa"/>
            <w:tcBorders>
              <w:top w:val="single" w:sz="4" w:space="0" w:color="auto"/>
              <w:left w:val="single" w:sz="4" w:space="0" w:color="auto"/>
              <w:bottom w:val="single" w:sz="4" w:space="0" w:color="auto"/>
              <w:right w:val="single" w:sz="4" w:space="0" w:color="auto"/>
            </w:tcBorders>
            <w:noWrap/>
            <w:vAlign w:val="bottom"/>
            <w:hideMark/>
          </w:tcPr>
          <w:p w14:paraId="69805497" w14:textId="77777777" w:rsidR="008C47DA" w:rsidRPr="008C47DA" w:rsidRDefault="008C47DA" w:rsidP="008C47DA">
            <w:pPr>
              <w:spacing w:after="0" w:line="240" w:lineRule="auto"/>
              <w:rPr>
                <w:rFonts w:cstheme="minorHAnsi"/>
              </w:rPr>
            </w:pPr>
            <w:r w:rsidRPr="008C47DA">
              <w:rPr>
                <w:rFonts w:cstheme="minorHAnsi"/>
              </w:rPr>
              <w:t>Q1</w:t>
            </w: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7B3A02F6" w14:textId="77777777" w:rsidR="008C47DA" w:rsidRPr="008C47DA" w:rsidRDefault="008C47DA" w:rsidP="008C47DA">
            <w:pPr>
              <w:spacing w:after="0" w:line="240" w:lineRule="auto"/>
              <w:rPr>
                <w:rFonts w:cstheme="minorHAnsi"/>
              </w:rPr>
            </w:pPr>
            <w:r w:rsidRPr="008C47DA">
              <w:rPr>
                <w:rFonts w:cstheme="minorHAnsi"/>
              </w:rPr>
              <w:t>Q2</w:t>
            </w: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7B909CF6" w14:textId="77777777" w:rsidR="008C47DA" w:rsidRPr="008C47DA" w:rsidRDefault="008C47DA" w:rsidP="008C47DA">
            <w:pPr>
              <w:spacing w:after="0" w:line="240" w:lineRule="auto"/>
              <w:rPr>
                <w:rFonts w:cstheme="minorHAnsi"/>
              </w:rPr>
            </w:pPr>
            <w:r w:rsidRPr="008C47DA">
              <w:rPr>
                <w:rFonts w:cstheme="minorHAnsi"/>
              </w:rPr>
              <w:t>Q3</w:t>
            </w: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75E28479" w14:textId="77777777" w:rsidR="008C47DA" w:rsidRPr="008C47DA" w:rsidRDefault="008C47DA" w:rsidP="008C47DA">
            <w:pPr>
              <w:spacing w:after="0" w:line="240" w:lineRule="auto"/>
              <w:rPr>
                <w:rFonts w:cstheme="minorHAnsi"/>
              </w:rPr>
            </w:pPr>
            <w:r w:rsidRPr="008C47DA">
              <w:rPr>
                <w:rFonts w:cstheme="minorHAnsi"/>
              </w:rPr>
              <w:t>Q4</w:t>
            </w:r>
          </w:p>
        </w:tc>
        <w:tc>
          <w:tcPr>
            <w:tcW w:w="793" w:type="dxa"/>
            <w:tcBorders>
              <w:top w:val="single" w:sz="4" w:space="0" w:color="auto"/>
              <w:left w:val="single" w:sz="4" w:space="0" w:color="auto"/>
              <w:bottom w:val="single" w:sz="4" w:space="0" w:color="auto"/>
              <w:right w:val="single" w:sz="4" w:space="0" w:color="auto"/>
            </w:tcBorders>
            <w:noWrap/>
            <w:vAlign w:val="bottom"/>
            <w:hideMark/>
          </w:tcPr>
          <w:p w14:paraId="0E010095" w14:textId="77777777" w:rsidR="008C47DA" w:rsidRPr="008C47DA" w:rsidRDefault="008C47DA" w:rsidP="008C47DA">
            <w:pPr>
              <w:spacing w:after="0" w:line="240" w:lineRule="auto"/>
              <w:rPr>
                <w:rFonts w:cstheme="minorHAnsi"/>
              </w:rPr>
            </w:pPr>
            <w:r w:rsidRPr="008C47DA">
              <w:rPr>
                <w:rFonts w:cstheme="minorHAnsi"/>
              </w:rPr>
              <w:t>Q1</w:t>
            </w: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578019E3" w14:textId="77777777" w:rsidR="008C47DA" w:rsidRPr="008C47DA" w:rsidRDefault="008C47DA" w:rsidP="008C47DA">
            <w:pPr>
              <w:spacing w:after="0" w:line="240" w:lineRule="auto"/>
              <w:rPr>
                <w:rFonts w:cstheme="minorHAnsi"/>
              </w:rPr>
            </w:pPr>
            <w:r w:rsidRPr="008C47DA">
              <w:rPr>
                <w:rFonts w:cstheme="minorHAnsi"/>
              </w:rPr>
              <w:t>Q2</w:t>
            </w: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686DF76C" w14:textId="77777777" w:rsidR="008C47DA" w:rsidRPr="008C47DA" w:rsidRDefault="008C47DA" w:rsidP="008C47DA">
            <w:pPr>
              <w:spacing w:after="0" w:line="240" w:lineRule="auto"/>
              <w:rPr>
                <w:rFonts w:cstheme="minorHAnsi"/>
              </w:rPr>
            </w:pPr>
            <w:r w:rsidRPr="008C47DA">
              <w:rPr>
                <w:rFonts w:cstheme="minorHAnsi"/>
              </w:rPr>
              <w:t>Q3</w:t>
            </w: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5DB9E1E5" w14:textId="77777777" w:rsidR="008C47DA" w:rsidRPr="008C47DA" w:rsidRDefault="008C47DA" w:rsidP="008C47DA">
            <w:pPr>
              <w:spacing w:after="0" w:line="240" w:lineRule="auto"/>
              <w:rPr>
                <w:rFonts w:cstheme="minorHAnsi"/>
              </w:rPr>
            </w:pPr>
            <w:r w:rsidRPr="008C47DA">
              <w:rPr>
                <w:rFonts w:cstheme="minorHAnsi"/>
              </w:rPr>
              <w:t>Q4</w:t>
            </w:r>
          </w:p>
        </w:tc>
      </w:tr>
      <w:tr w:rsidR="008C47DA" w:rsidRPr="008C47DA" w14:paraId="3908B3E7" w14:textId="77777777" w:rsidTr="008C47DA">
        <w:trPr>
          <w:trHeight w:val="358"/>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2D172747" w14:textId="77777777" w:rsidR="008C47DA" w:rsidRPr="008C47DA" w:rsidRDefault="008C47DA" w:rsidP="008C47DA">
            <w:pPr>
              <w:spacing w:after="0" w:line="240" w:lineRule="auto"/>
              <w:rPr>
                <w:rFonts w:cstheme="minorHAnsi"/>
              </w:rPr>
            </w:pPr>
            <w:r w:rsidRPr="008C47DA">
              <w:rPr>
                <w:rFonts w:cstheme="minorHAnsi"/>
              </w:rPr>
              <w:t>2,638</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6C4A98AB" w14:textId="77777777" w:rsidR="008C47DA" w:rsidRPr="008C47DA" w:rsidRDefault="008C47DA" w:rsidP="008C47DA">
            <w:pPr>
              <w:spacing w:after="0" w:line="240" w:lineRule="auto"/>
              <w:rPr>
                <w:rFonts w:cstheme="minorHAnsi"/>
              </w:rPr>
            </w:pPr>
            <w:r w:rsidRPr="008C47DA">
              <w:rPr>
                <w:rFonts w:cstheme="minorHAnsi"/>
              </w:rPr>
              <w:t>2,697</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04CFDC13" w14:textId="77777777" w:rsidR="008C47DA" w:rsidRPr="008C47DA" w:rsidRDefault="008C47DA" w:rsidP="008C47DA">
            <w:pPr>
              <w:spacing w:after="0" w:line="240" w:lineRule="auto"/>
              <w:rPr>
                <w:rFonts w:cstheme="minorHAnsi"/>
              </w:rPr>
            </w:pPr>
            <w:r w:rsidRPr="008C47DA">
              <w:rPr>
                <w:rFonts w:cstheme="minorHAnsi"/>
              </w:rPr>
              <w:t>2,581</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353A736F" w14:textId="77777777" w:rsidR="008C47DA" w:rsidRPr="008C47DA" w:rsidRDefault="008C47DA" w:rsidP="008C47DA">
            <w:pPr>
              <w:spacing w:after="0" w:line="240" w:lineRule="auto"/>
              <w:rPr>
                <w:rFonts w:cstheme="minorHAnsi"/>
              </w:rPr>
            </w:pPr>
            <w:r w:rsidRPr="008C47DA">
              <w:rPr>
                <w:rFonts w:cstheme="minorHAnsi"/>
              </w:rPr>
              <w:t>2,648</w:t>
            </w:r>
          </w:p>
        </w:tc>
        <w:tc>
          <w:tcPr>
            <w:tcW w:w="793" w:type="dxa"/>
            <w:tcBorders>
              <w:top w:val="single" w:sz="4" w:space="0" w:color="auto"/>
              <w:left w:val="single" w:sz="4" w:space="0" w:color="auto"/>
              <w:bottom w:val="single" w:sz="4" w:space="0" w:color="auto"/>
              <w:right w:val="single" w:sz="4" w:space="0" w:color="auto"/>
            </w:tcBorders>
            <w:noWrap/>
            <w:vAlign w:val="center"/>
            <w:hideMark/>
          </w:tcPr>
          <w:p w14:paraId="1E6B3B73" w14:textId="77777777" w:rsidR="008C47DA" w:rsidRPr="008C47DA" w:rsidRDefault="008C47DA" w:rsidP="008C47DA">
            <w:pPr>
              <w:spacing w:after="0" w:line="240" w:lineRule="auto"/>
              <w:rPr>
                <w:rFonts w:cstheme="minorHAnsi"/>
              </w:rPr>
            </w:pPr>
            <w:r w:rsidRPr="008C47DA">
              <w:rPr>
                <w:rFonts w:cstheme="minorHAnsi"/>
              </w:rPr>
              <w:t>2,730</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12D46141" w14:textId="77777777" w:rsidR="008C47DA" w:rsidRPr="008C47DA" w:rsidRDefault="008C47DA" w:rsidP="008C47DA">
            <w:pPr>
              <w:spacing w:after="0" w:line="240" w:lineRule="auto"/>
              <w:rPr>
                <w:rFonts w:cstheme="minorHAnsi"/>
              </w:rPr>
            </w:pPr>
            <w:r w:rsidRPr="008C47DA">
              <w:rPr>
                <w:rFonts w:cstheme="minorHAnsi"/>
              </w:rPr>
              <w:t>2,672</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78A3B01C" w14:textId="77777777" w:rsidR="008C47DA" w:rsidRPr="008C47DA" w:rsidRDefault="008C47DA" w:rsidP="008C47DA">
            <w:pPr>
              <w:spacing w:after="0" w:line="240" w:lineRule="auto"/>
              <w:rPr>
                <w:rFonts w:cstheme="minorHAnsi"/>
              </w:rPr>
            </w:pPr>
            <w:r w:rsidRPr="008C47DA">
              <w:rPr>
                <w:rFonts w:cstheme="minorHAnsi"/>
              </w:rPr>
              <w:t>2,559</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3AA81689" w14:textId="77777777" w:rsidR="008C47DA" w:rsidRPr="008C47DA" w:rsidRDefault="008C47DA" w:rsidP="008C47DA">
            <w:pPr>
              <w:spacing w:after="0" w:line="240" w:lineRule="auto"/>
              <w:rPr>
                <w:rFonts w:cstheme="minorHAnsi"/>
              </w:rPr>
            </w:pPr>
            <w:r w:rsidRPr="008C47DA">
              <w:rPr>
                <w:rFonts w:cstheme="minorHAnsi"/>
              </w:rPr>
              <w:t>2,687</w:t>
            </w:r>
          </w:p>
        </w:tc>
        <w:tc>
          <w:tcPr>
            <w:tcW w:w="793" w:type="dxa"/>
            <w:tcBorders>
              <w:top w:val="single" w:sz="4" w:space="0" w:color="auto"/>
              <w:left w:val="single" w:sz="4" w:space="0" w:color="auto"/>
              <w:bottom w:val="single" w:sz="4" w:space="0" w:color="auto"/>
              <w:right w:val="single" w:sz="4" w:space="0" w:color="auto"/>
            </w:tcBorders>
            <w:noWrap/>
            <w:vAlign w:val="center"/>
            <w:hideMark/>
          </w:tcPr>
          <w:p w14:paraId="5D75630E" w14:textId="77777777" w:rsidR="008C47DA" w:rsidRPr="008C47DA" w:rsidRDefault="008C47DA" w:rsidP="008C47DA">
            <w:pPr>
              <w:spacing w:after="0" w:line="240" w:lineRule="auto"/>
              <w:rPr>
                <w:rFonts w:cstheme="minorHAnsi"/>
              </w:rPr>
            </w:pPr>
            <w:r w:rsidRPr="008C47DA">
              <w:rPr>
                <w:rFonts w:cstheme="minorHAnsi"/>
              </w:rPr>
              <w:t>2,671</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7B65EF64" w14:textId="77777777" w:rsidR="008C47DA" w:rsidRPr="008C47DA" w:rsidRDefault="008C47DA" w:rsidP="008C47DA">
            <w:pPr>
              <w:spacing w:after="0" w:line="240" w:lineRule="auto"/>
              <w:rPr>
                <w:rFonts w:cstheme="minorHAnsi"/>
              </w:rPr>
            </w:pPr>
            <w:r w:rsidRPr="008C47DA">
              <w:rPr>
                <w:rFonts w:cstheme="minorHAnsi"/>
              </w:rPr>
              <w:t>2,664</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109DD155" w14:textId="77777777" w:rsidR="008C47DA" w:rsidRPr="008C47DA" w:rsidRDefault="008C47DA" w:rsidP="008C47DA">
            <w:pPr>
              <w:spacing w:after="0" w:line="240" w:lineRule="auto"/>
              <w:rPr>
                <w:rFonts w:cstheme="minorHAnsi"/>
              </w:rPr>
            </w:pPr>
            <w:r w:rsidRPr="008C47DA">
              <w:rPr>
                <w:rFonts w:cstheme="minorHAnsi"/>
              </w:rPr>
              <w:t>2,604</w:t>
            </w: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1174630D" w14:textId="77777777" w:rsidR="008C47DA" w:rsidRPr="008C47DA" w:rsidRDefault="008C47DA" w:rsidP="008C47DA">
            <w:pPr>
              <w:spacing w:after="0" w:line="240" w:lineRule="auto"/>
              <w:rPr>
                <w:rFonts w:cstheme="minorHAnsi"/>
              </w:rPr>
            </w:pPr>
            <w:r w:rsidRPr="008C47DA">
              <w:rPr>
                <w:rFonts w:cstheme="minorHAnsi"/>
              </w:rPr>
              <w:t>2,563</w:t>
            </w:r>
          </w:p>
        </w:tc>
      </w:tr>
    </w:tbl>
    <w:p w14:paraId="1DEA7804" w14:textId="77777777" w:rsidR="008C47DA" w:rsidRPr="008C47DA" w:rsidRDefault="008C47DA" w:rsidP="008C47DA">
      <w:pPr>
        <w:spacing w:after="0" w:line="240" w:lineRule="auto"/>
        <w:rPr>
          <w:rFonts w:cstheme="minorHAnsi"/>
        </w:rPr>
      </w:pPr>
      <w:r w:rsidRPr="008C47DA">
        <w:rPr>
          <w:rFonts w:cstheme="minorHAnsi"/>
        </w:rPr>
        <w:t xml:space="preserve">This metric has shown a slight fall in recent years, against a </w:t>
      </w:r>
      <w:hyperlink r:id="rId27" w:history="1">
        <w:r w:rsidRPr="008C47DA">
          <w:rPr>
            <w:rStyle w:val="Hyperlink"/>
            <w:rFonts w:cstheme="minorHAnsi"/>
          </w:rPr>
          <w:t>national target</w:t>
        </w:r>
      </w:hyperlink>
      <w:r w:rsidRPr="008C47DA">
        <w:rPr>
          <w:rFonts w:cstheme="minorHAnsi"/>
        </w:rPr>
        <w:t xml:space="preserve"> of increased numbers (treatment target: increase total number of people on ORT by 9% by 2025). It is unclear how this compares with national trends. </w:t>
      </w:r>
      <w:proofErr w:type="gramStart"/>
      <w:r w:rsidRPr="008C47DA">
        <w:rPr>
          <w:rFonts w:cstheme="minorHAnsi"/>
        </w:rPr>
        <w:t>A number of</w:t>
      </w:r>
      <w:proofErr w:type="gramEnd"/>
      <w:r w:rsidRPr="008C47DA">
        <w:rPr>
          <w:rFonts w:cstheme="minorHAnsi"/>
        </w:rPr>
        <w:t xml:space="preserve"> steps which might have been expected to increase numbers in treatment (improving access and retention) have not had this effect.</w:t>
      </w:r>
    </w:p>
    <w:p w14:paraId="78D4EE10" w14:textId="77777777" w:rsidR="00BF4E15" w:rsidRPr="00BF4E15" w:rsidRDefault="00BF4E15" w:rsidP="00BF4E15">
      <w:pPr>
        <w:spacing w:after="0" w:line="240" w:lineRule="auto"/>
        <w:rPr>
          <w:rFonts w:cstheme="minorHAnsi"/>
        </w:rPr>
      </w:pPr>
    </w:p>
    <w:p w14:paraId="216A0E72" w14:textId="79B93850" w:rsidR="008C47DA" w:rsidRPr="008C47DA" w:rsidRDefault="00BF4E15" w:rsidP="008C47DA">
      <w:pPr>
        <w:spacing w:after="0" w:line="240" w:lineRule="auto"/>
        <w:rPr>
          <w:rFonts w:cstheme="minorHAnsi"/>
          <w:b/>
          <w:bCs/>
        </w:rPr>
      </w:pPr>
      <w:r w:rsidRPr="00BF4E15">
        <w:rPr>
          <w:rFonts w:cstheme="minorHAnsi"/>
          <w:b/>
          <w:bCs/>
        </w:rPr>
        <w:t>KPI: % of those prescribed ORT who are in primary care</w:t>
      </w:r>
    </w:p>
    <w:tbl>
      <w:tblPr>
        <w:tblW w:w="9776" w:type="dxa"/>
        <w:jc w:val="center"/>
        <w:tblLayout w:type="fixed"/>
        <w:tblLook w:val="04A0" w:firstRow="1" w:lastRow="0" w:firstColumn="1" w:lastColumn="0" w:noHBand="0" w:noVBand="1"/>
      </w:tblPr>
      <w:tblGrid>
        <w:gridCol w:w="879"/>
        <w:gridCol w:w="741"/>
        <w:gridCol w:w="741"/>
        <w:gridCol w:w="742"/>
        <w:gridCol w:w="741"/>
        <w:gridCol w:w="742"/>
        <w:gridCol w:w="741"/>
        <w:gridCol w:w="741"/>
        <w:gridCol w:w="742"/>
        <w:gridCol w:w="741"/>
        <w:gridCol w:w="742"/>
        <w:gridCol w:w="741"/>
        <w:gridCol w:w="742"/>
      </w:tblGrid>
      <w:tr w:rsidR="008C47DA" w:rsidRPr="008C47DA" w14:paraId="20275953" w14:textId="77777777" w:rsidTr="008C47DA">
        <w:trPr>
          <w:trHeight w:val="362"/>
          <w:jc w:val="center"/>
        </w:trPr>
        <w:tc>
          <w:tcPr>
            <w:tcW w:w="879" w:type="dxa"/>
            <w:tcBorders>
              <w:top w:val="single" w:sz="4" w:space="0" w:color="auto"/>
              <w:left w:val="single" w:sz="4" w:space="0" w:color="auto"/>
              <w:bottom w:val="single" w:sz="4" w:space="0" w:color="auto"/>
              <w:right w:val="single" w:sz="4" w:space="0" w:color="auto"/>
            </w:tcBorders>
            <w:noWrap/>
            <w:vAlign w:val="bottom"/>
            <w:hideMark/>
          </w:tcPr>
          <w:p w14:paraId="7CB8F4EA" w14:textId="77777777" w:rsidR="008C47DA" w:rsidRPr="008C47DA" w:rsidRDefault="008C47DA" w:rsidP="008C47DA">
            <w:pPr>
              <w:spacing w:after="0" w:line="240" w:lineRule="auto"/>
              <w:jc w:val="center"/>
              <w:rPr>
                <w:rFonts w:cstheme="minorHAnsi"/>
                <w:b/>
                <w:bCs/>
              </w:rPr>
            </w:pPr>
          </w:p>
        </w:tc>
        <w:tc>
          <w:tcPr>
            <w:tcW w:w="2965" w:type="dxa"/>
            <w:gridSpan w:val="4"/>
            <w:tcBorders>
              <w:top w:val="single" w:sz="4" w:space="0" w:color="auto"/>
              <w:left w:val="single" w:sz="4" w:space="0" w:color="auto"/>
              <w:bottom w:val="single" w:sz="4" w:space="0" w:color="auto"/>
              <w:right w:val="single" w:sz="4" w:space="0" w:color="auto"/>
            </w:tcBorders>
            <w:noWrap/>
            <w:vAlign w:val="bottom"/>
            <w:hideMark/>
          </w:tcPr>
          <w:p w14:paraId="5E98BC7A" w14:textId="77777777" w:rsidR="008C47DA" w:rsidRPr="008C47DA" w:rsidRDefault="008C47DA" w:rsidP="008C47DA">
            <w:pPr>
              <w:spacing w:after="0" w:line="240" w:lineRule="auto"/>
              <w:jc w:val="center"/>
              <w:rPr>
                <w:rFonts w:cstheme="minorHAnsi"/>
                <w:b/>
                <w:bCs/>
              </w:rPr>
            </w:pPr>
            <w:r w:rsidRPr="008C47DA">
              <w:rPr>
                <w:rFonts w:cstheme="minorHAnsi"/>
                <w:b/>
                <w:bCs/>
              </w:rPr>
              <w:t>FY 2021/22</w:t>
            </w:r>
          </w:p>
        </w:tc>
        <w:tc>
          <w:tcPr>
            <w:tcW w:w="2966" w:type="dxa"/>
            <w:gridSpan w:val="4"/>
            <w:tcBorders>
              <w:top w:val="single" w:sz="4" w:space="0" w:color="auto"/>
              <w:left w:val="single" w:sz="4" w:space="0" w:color="auto"/>
              <w:bottom w:val="single" w:sz="4" w:space="0" w:color="auto"/>
              <w:right w:val="single" w:sz="4" w:space="0" w:color="auto"/>
            </w:tcBorders>
            <w:noWrap/>
            <w:vAlign w:val="bottom"/>
            <w:hideMark/>
          </w:tcPr>
          <w:p w14:paraId="24837DBF" w14:textId="77777777" w:rsidR="008C47DA" w:rsidRPr="008C47DA" w:rsidRDefault="008C47DA" w:rsidP="008C47DA">
            <w:pPr>
              <w:spacing w:after="0" w:line="240" w:lineRule="auto"/>
              <w:jc w:val="center"/>
              <w:rPr>
                <w:rFonts w:cstheme="minorHAnsi"/>
                <w:b/>
                <w:bCs/>
              </w:rPr>
            </w:pPr>
            <w:r w:rsidRPr="008C47DA">
              <w:rPr>
                <w:rFonts w:cstheme="minorHAnsi"/>
                <w:b/>
                <w:bCs/>
              </w:rPr>
              <w:t>FY 2022/23</w:t>
            </w:r>
          </w:p>
        </w:tc>
        <w:tc>
          <w:tcPr>
            <w:tcW w:w="2966" w:type="dxa"/>
            <w:gridSpan w:val="4"/>
            <w:tcBorders>
              <w:top w:val="single" w:sz="4" w:space="0" w:color="auto"/>
              <w:left w:val="single" w:sz="4" w:space="0" w:color="auto"/>
              <w:bottom w:val="single" w:sz="4" w:space="0" w:color="auto"/>
              <w:right w:val="single" w:sz="4" w:space="0" w:color="auto"/>
            </w:tcBorders>
            <w:noWrap/>
            <w:vAlign w:val="bottom"/>
            <w:hideMark/>
          </w:tcPr>
          <w:p w14:paraId="637BD1AA" w14:textId="77777777" w:rsidR="008C47DA" w:rsidRPr="008C47DA" w:rsidRDefault="008C47DA" w:rsidP="008C47DA">
            <w:pPr>
              <w:spacing w:after="0" w:line="240" w:lineRule="auto"/>
              <w:jc w:val="center"/>
              <w:rPr>
                <w:rFonts w:cstheme="minorHAnsi"/>
                <w:b/>
                <w:bCs/>
              </w:rPr>
            </w:pPr>
            <w:r w:rsidRPr="008C47DA">
              <w:rPr>
                <w:rFonts w:cstheme="minorHAnsi"/>
                <w:b/>
                <w:bCs/>
              </w:rPr>
              <w:t>FY 2023/24</w:t>
            </w:r>
          </w:p>
        </w:tc>
      </w:tr>
      <w:tr w:rsidR="008C47DA" w:rsidRPr="008C47DA" w14:paraId="5258F797" w14:textId="77777777" w:rsidTr="008C47DA">
        <w:trPr>
          <w:trHeight w:val="362"/>
          <w:jc w:val="center"/>
        </w:trPr>
        <w:tc>
          <w:tcPr>
            <w:tcW w:w="879" w:type="dxa"/>
            <w:tcBorders>
              <w:top w:val="single" w:sz="4" w:space="0" w:color="auto"/>
              <w:left w:val="single" w:sz="4" w:space="0" w:color="auto"/>
              <w:bottom w:val="single" w:sz="4" w:space="0" w:color="auto"/>
              <w:right w:val="single" w:sz="4" w:space="0" w:color="auto"/>
            </w:tcBorders>
            <w:noWrap/>
            <w:vAlign w:val="bottom"/>
            <w:hideMark/>
          </w:tcPr>
          <w:p w14:paraId="209A9494" w14:textId="77777777" w:rsidR="008C47DA" w:rsidRPr="008C47DA" w:rsidRDefault="008C47DA" w:rsidP="008C47DA">
            <w:pPr>
              <w:spacing w:after="0" w:line="240" w:lineRule="auto"/>
              <w:jc w:val="center"/>
              <w:rPr>
                <w:rFonts w:cstheme="minorHAnsi"/>
                <w:b/>
                <w:bCs/>
              </w:rPr>
            </w:pPr>
          </w:p>
        </w:tc>
        <w:tc>
          <w:tcPr>
            <w:tcW w:w="741" w:type="dxa"/>
            <w:tcBorders>
              <w:top w:val="single" w:sz="4" w:space="0" w:color="auto"/>
              <w:left w:val="single" w:sz="4" w:space="0" w:color="auto"/>
              <w:bottom w:val="single" w:sz="4" w:space="0" w:color="auto"/>
              <w:right w:val="single" w:sz="4" w:space="0" w:color="auto"/>
            </w:tcBorders>
            <w:noWrap/>
            <w:vAlign w:val="bottom"/>
            <w:hideMark/>
          </w:tcPr>
          <w:p w14:paraId="6542B9EB" w14:textId="77777777" w:rsidR="008C47DA" w:rsidRPr="008C47DA" w:rsidRDefault="008C47DA" w:rsidP="008C47DA">
            <w:pPr>
              <w:spacing w:after="0" w:line="240" w:lineRule="auto"/>
              <w:jc w:val="center"/>
              <w:rPr>
                <w:rFonts w:cstheme="minorHAnsi"/>
                <w:b/>
                <w:bCs/>
              </w:rPr>
            </w:pPr>
            <w:r w:rsidRPr="008C47DA">
              <w:rPr>
                <w:rFonts w:cstheme="minorHAnsi"/>
                <w:b/>
                <w:bCs/>
              </w:rPr>
              <w:t>Q1</w:t>
            </w:r>
          </w:p>
        </w:tc>
        <w:tc>
          <w:tcPr>
            <w:tcW w:w="741" w:type="dxa"/>
            <w:tcBorders>
              <w:top w:val="single" w:sz="4" w:space="0" w:color="auto"/>
              <w:left w:val="single" w:sz="4" w:space="0" w:color="auto"/>
              <w:bottom w:val="single" w:sz="4" w:space="0" w:color="auto"/>
              <w:right w:val="single" w:sz="4" w:space="0" w:color="auto"/>
            </w:tcBorders>
            <w:noWrap/>
            <w:vAlign w:val="bottom"/>
            <w:hideMark/>
          </w:tcPr>
          <w:p w14:paraId="4BE36980" w14:textId="77777777" w:rsidR="008C47DA" w:rsidRPr="008C47DA" w:rsidRDefault="008C47DA" w:rsidP="008C47DA">
            <w:pPr>
              <w:spacing w:after="0" w:line="240" w:lineRule="auto"/>
              <w:jc w:val="center"/>
              <w:rPr>
                <w:rFonts w:cstheme="minorHAnsi"/>
                <w:b/>
                <w:bCs/>
              </w:rPr>
            </w:pPr>
            <w:r w:rsidRPr="008C47DA">
              <w:rPr>
                <w:rFonts w:cstheme="minorHAnsi"/>
                <w:b/>
                <w:bCs/>
              </w:rPr>
              <w:t>Q2</w:t>
            </w:r>
          </w:p>
        </w:tc>
        <w:tc>
          <w:tcPr>
            <w:tcW w:w="742" w:type="dxa"/>
            <w:tcBorders>
              <w:top w:val="single" w:sz="4" w:space="0" w:color="auto"/>
              <w:left w:val="single" w:sz="4" w:space="0" w:color="auto"/>
              <w:bottom w:val="single" w:sz="4" w:space="0" w:color="auto"/>
              <w:right w:val="single" w:sz="4" w:space="0" w:color="auto"/>
            </w:tcBorders>
            <w:noWrap/>
            <w:vAlign w:val="bottom"/>
            <w:hideMark/>
          </w:tcPr>
          <w:p w14:paraId="6E533A60" w14:textId="77777777" w:rsidR="008C47DA" w:rsidRPr="008C47DA" w:rsidRDefault="008C47DA" w:rsidP="008C47DA">
            <w:pPr>
              <w:spacing w:after="0" w:line="240" w:lineRule="auto"/>
              <w:jc w:val="center"/>
              <w:rPr>
                <w:rFonts w:cstheme="minorHAnsi"/>
                <w:b/>
                <w:bCs/>
              </w:rPr>
            </w:pPr>
            <w:r w:rsidRPr="008C47DA">
              <w:rPr>
                <w:rFonts w:cstheme="minorHAnsi"/>
                <w:b/>
                <w:bCs/>
              </w:rPr>
              <w:t>Q3</w:t>
            </w:r>
          </w:p>
        </w:tc>
        <w:tc>
          <w:tcPr>
            <w:tcW w:w="741" w:type="dxa"/>
            <w:tcBorders>
              <w:top w:val="single" w:sz="4" w:space="0" w:color="auto"/>
              <w:left w:val="single" w:sz="4" w:space="0" w:color="auto"/>
              <w:bottom w:val="single" w:sz="4" w:space="0" w:color="auto"/>
              <w:right w:val="single" w:sz="4" w:space="0" w:color="auto"/>
            </w:tcBorders>
            <w:noWrap/>
            <w:vAlign w:val="bottom"/>
            <w:hideMark/>
          </w:tcPr>
          <w:p w14:paraId="09F35DC7" w14:textId="77777777" w:rsidR="008C47DA" w:rsidRPr="008C47DA" w:rsidRDefault="008C47DA" w:rsidP="008C47DA">
            <w:pPr>
              <w:spacing w:after="0" w:line="240" w:lineRule="auto"/>
              <w:jc w:val="center"/>
              <w:rPr>
                <w:rFonts w:cstheme="minorHAnsi"/>
                <w:b/>
                <w:bCs/>
              </w:rPr>
            </w:pPr>
            <w:r w:rsidRPr="008C47DA">
              <w:rPr>
                <w:rFonts w:cstheme="minorHAnsi"/>
                <w:b/>
                <w:bCs/>
              </w:rPr>
              <w:t>Q4</w:t>
            </w:r>
          </w:p>
        </w:tc>
        <w:tc>
          <w:tcPr>
            <w:tcW w:w="742" w:type="dxa"/>
            <w:tcBorders>
              <w:top w:val="single" w:sz="4" w:space="0" w:color="auto"/>
              <w:left w:val="single" w:sz="4" w:space="0" w:color="auto"/>
              <w:bottom w:val="single" w:sz="4" w:space="0" w:color="auto"/>
              <w:right w:val="single" w:sz="4" w:space="0" w:color="auto"/>
            </w:tcBorders>
            <w:noWrap/>
            <w:vAlign w:val="bottom"/>
            <w:hideMark/>
          </w:tcPr>
          <w:p w14:paraId="58615A28" w14:textId="77777777" w:rsidR="008C47DA" w:rsidRPr="008C47DA" w:rsidRDefault="008C47DA" w:rsidP="008C47DA">
            <w:pPr>
              <w:spacing w:after="0" w:line="240" w:lineRule="auto"/>
              <w:jc w:val="center"/>
              <w:rPr>
                <w:rFonts w:cstheme="minorHAnsi"/>
                <w:b/>
                <w:bCs/>
              </w:rPr>
            </w:pPr>
            <w:r w:rsidRPr="008C47DA">
              <w:rPr>
                <w:rFonts w:cstheme="minorHAnsi"/>
                <w:b/>
                <w:bCs/>
              </w:rPr>
              <w:t>Q1</w:t>
            </w:r>
          </w:p>
        </w:tc>
        <w:tc>
          <w:tcPr>
            <w:tcW w:w="741" w:type="dxa"/>
            <w:tcBorders>
              <w:top w:val="single" w:sz="4" w:space="0" w:color="auto"/>
              <w:left w:val="single" w:sz="4" w:space="0" w:color="auto"/>
              <w:bottom w:val="single" w:sz="4" w:space="0" w:color="auto"/>
              <w:right w:val="single" w:sz="4" w:space="0" w:color="auto"/>
            </w:tcBorders>
            <w:noWrap/>
            <w:vAlign w:val="bottom"/>
            <w:hideMark/>
          </w:tcPr>
          <w:p w14:paraId="29CC9995" w14:textId="77777777" w:rsidR="008C47DA" w:rsidRPr="008C47DA" w:rsidRDefault="008C47DA" w:rsidP="008C47DA">
            <w:pPr>
              <w:spacing w:after="0" w:line="240" w:lineRule="auto"/>
              <w:jc w:val="center"/>
              <w:rPr>
                <w:rFonts w:cstheme="minorHAnsi"/>
                <w:b/>
                <w:bCs/>
              </w:rPr>
            </w:pPr>
            <w:r w:rsidRPr="008C47DA">
              <w:rPr>
                <w:rFonts w:cstheme="minorHAnsi"/>
                <w:b/>
                <w:bCs/>
              </w:rPr>
              <w:t>Q2</w:t>
            </w:r>
          </w:p>
        </w:tc>
        <w:tc>
          <w:tcPr>
            <w:tcW w:w="741" w:type="dxa"/>
            <w:tcBorders>
              <w:top w:val="single" w:sz="4" w:space="0" w:color="auto"/>
              <w:left w:val="single" w:sz="4" w:space="0" w:color="auto"/>
              <w:bottom w:val="single" w:sz="4" w:space="0" w:color="auto"/>
              <w:right w:val="single" w:sz="4" w:space="0" w:color="auto"/>
            </w:tcBorders>
            <w:noWrap/>
            <w:vAlign w:val="bottom"/>
            <w:hideMark/>
          </w:tcPr>
          <w:p w14:paraId="292CB5EF" w14:textId="77777777" w:rsidR="008C47DA" w:rsidRPr="008C47DA" w:rsidRDefault="008C47DA" w:rsidP="008C47DA">
            <w:pPr>
              <w:spacing w:after="0" w:line="240" w:lineRule="auto"/>
              <w:jc w:val="center"/>
              <w:rPr>
                <w:rFonts w:cstheme="minorHAnsi"/>
                <w:b/>
                <w:bCs/>
              </w:rPr>
            </w:pPr>
            <w:r w:rsidRPr="008C47DA">
              <w:rPr>
                <w:rFonts w:cstheme="minorHAnsi"/>
                <w:b/>
                <w:bCs/>
              </w:rPr>
              <w:t>Q3</w:t>
            </w:r>
          </w:p>
        </w:tc>
        <w:tc>
          <w:tcPr>
            <w:tcW w:w="742" w:type="dxa"/>
            <w:tcBorders>
              <w:top w:val="single" w:sz="4" w:space="0" w:color="auto"/>
              <w:left w:val="single" w:sz="4" w:space="0" w:color="auto"/>
              <w:bottom w:val="single" w:sz="4" w:space="0" w:color="auto"/>
              <w:right w:val="single" w:sz="4" w:space="0" w:color="auto"/>
            </w:tcBorders>
            <w:noWrap/>
            <w:vAlign w:val="bottom"/>
            <w:hideMark/>
          </w:tcPr>
          <w:p w14:paraId="334C4C45" w14:textId="77777777" w:rsidR="008C47DA" w:rsidRPr="008C47DA" w:rsidRDefault="008C47DA" w:rsidP="008C47DA">
            <w:pPr>
              <w:spacing w:after="0" w:line="240" w:lineRule="auto"/>
              <w:jc w:val="center"/>
              <w:rPr>
                <w:rFonts w:cstheme="minorHAnsi"/>
                <w:b/>
                <w:bCs/>
              </w:rPr>
            </w:pPr>
            <w:r w:rsidRPr="008C47DA">
              <w:rPr>
                <w:rFonts w:cstheme="minorHAnsi"/>
                <w:b/>
                <w:bCs/>
              </w:rPr>
              <w:t>Q4</w:t>
            </w:r>
          </w:p>
        </w:tc>
        <w:tc>
          <w:tcPr>
            <w:tcW w:w="741" w:type="dxa"/>
            <w:tcBorders>
              <w:top w:val="single" w:sz="4" w:space="0" w:color="auto"/>
              <w:left w:val="single" w:sz="4" w:space="0" w:color="auto"/>
              <w:bottom w:val="single" w:sz="4" w:space="0" w:color="auto"/>
              <w:right w:val="single" w:sz="4" w:space="0" w:color="auto"/>
            </w:tcBorders>
            <w:noWrap/>
            <w:vAlign w:val="bottom"/>
            <w:hideMark/>
          </w:tcPr>
          <w:p w14:paraId="1116C09F" w14:textId="77777777" w:rsidR="008C47DA" w:rsidRPr="008C47DA" w:rsidRDefault="008C47DA" w:rsidP="008C47DA">
            <w:pPr>
              <w:spacing w:after="0" w:line="240" w:lineRule="auto"/>
              <w:jc w:val="center"/>
              <w:rPr>
                <w:rFonts w:cstheme="minorHAnsi"/>
                <w:b/>
                <w:bCs/>
              </w:rPr>
            </w:pPr>
            <w:r w:rsidRPr="008C47DA">
              <w:rPr>
                <w:rFonts w:cstheme="minorHAnsi"/>
                <w:b/>
                <w:bCs/>
              </w:rPr>
              <w:t>Q1</w:t>
            </w:r>
          </w:p>
        </w:tc>
        <w:tc>
          <w:tcPr>
            <w:tcW w:w="742" w:type="dxa"/>
            <w:tcBorders>
              <w:top w:val="single" w:sz="4" w:space="0" w:color="auto"/>
              <w:left w:val="single" w:sz="4" w:space="0" w:color="auto"/>
              <w:bottom w:val="single" w:sz="4" w:space="0" w:color="auto"/>
              <w:right w:val="single" w:sz="4" w:space="0" w:color="auto"/>
            </w:tcBorders>
            <w:noWrap/>
            <w:vAlign w:val="bottom"/>
            <w:hideMark/>
          </w:tcPr>
          <w:p w14:paraId="30E8472A" w14:textId="77777777" w:rsidR="008C47DA" w:rsidRPr="008C47DA" w:rsidRDefault="008C47DA" w:rsidP="008C47DA">
            <w:pPr>
              <w:spacing w:after="0" w:line="240" w:lineRule="auto"/>
              <w:jc w:val="center"/>
              <w:rPr>
                <w:rFonts w:cstheme="minorHAnsi"/>
                <w:b/>
                <w:bCs/>
              </w:rPr>
            </w:pPr>
            <w:r w:rsidRPr="008C47DA">
              <w:rPr>
                <w:rFonts w:cstheme="minorHAnsi"/>
                <w:b/>
                <w:bCs/>
              </w:rPr>
              <w:t>Q2</w:t>
            </w:r>
          </w:p>
        </w:tc>
        <w:tc>
          <w:tcPr>
            <w:tcW w:w="741" w:type="dxa"/>
            <w:tcBorders>
              <w:top w:val="single" w:sz="4" w:space="0" w:color="auto"/>
              <w:left w:val="single" w:sz="4" w:space="0" w:color="auto"/>
              <w:bottom w:val="single" w:sz="4" w:space="0" w:color="auto"/>
              <w:right w:val="single" w:sz="4" w:space="0" w:color="auto"/>
            </w:tcBorders>
            <w:noWrap/>
            <w:vAlign w:val="bottom"/>
            <w:hideMark/>
          </w:tcPr>
          <w:p w14:paraId="59FEE0F6" w14:textId="77777777" w:rsidR="008C47DA" w:rsidRPr="008C47DA" w:rsidRDefault="008C47DA" w:rsidP="008C47DA">
            <w:pPr>
              <w:spacing w:after="0" w:line="240" w:lineRule="auto"/>
              <w:jc w:val="center"/>
              <w:rPr>
                <w:rFonts w:cstheme="minorHAnsi"/>
                <w:b/>
                <w:bCs/>
              </w:rPr>
            </w:pPr>
            <w:r w:rsidRPr="008C47DA">
              <w:rPr>
                <w:rFonts w:cstheme="minorHAnsi"/>
                <w:b/>
                <w:bCs/>
              </w:rPr>
              <w:t>Q3</w:t>
            </w:r>
          </w:p>
        </w:tc>
        <w:tc>
          <w:tcPr>
            <w:tcW w:w="742" w:type="dxa"/>
            <w:tcBorders>
              <w:top w:val="single" w:sz="4" w:space="0" w:color="auto"/>
              <w:left w:val="single" w:sz="4" w:space="0" w:color="auto"/>
              <w:bottom w:val="single" w:sz="4" w:space="0" w:color="auto"/>
              <w:right w:val="single" w:sz="4" w:space="0" w:color="auto"/>
            </w:tcBorders>
            <w:noWrap/>
            <w:vAlign w:val="bottom"/>
            <w:hideMark/>
          </w:tcPr>
          <w:p w14:paraId="22091AE1" w14:textId="77777777" w:rsidR="008C47DA" w:rsidRPr="008C47DA" w:rsidRDefault="008C47DA" w:rsidP="008C47DA">
            <w:pPr>
              <w:spacing w:after="0" w:line="240" w:lineRule="auto"/>
              <w:jc w:val="center"/>
              <w:rPr>
                <w:rFonts w:cstheme="minorHAnsi"/>
                <w:b/>
                <w:bCs/>
              </w:rPr>
            </w:pPr>
            <w:r w:rsidRPr="008C47DA">
              <w:rPr>
                <w:rFonts w:cstheme="minorHAnsi"/>
                <w:b/>
                <w:bCs/>
              </w:rPr>
              <w:t>Q4</w:t>
            </w:r>
          </w:p>
        </w:tc>
      </w:tr>
      <w:tr w:rsidR="008C47DA" w:rsidRPr="008C47DA" w14:paraId="36F484C3" w14:textId="77777777" w:rsidTr="008C47DA">
        <w:trPr>
          <w:trHeight w:val="362"/>
          <w:jc w:val="center"/>
        </w:trPr>
        <w:tc>
          <w:tcPr>
            <w:tcW w:w="879" w:type="dxa"/>
            <w:tcBorders>
              <w:top w:val="single" w:sz="4" w:space="0" w:color="auto"/>
              <w:left w:val="single" w:sz="4" w:space="0" w:color="auto"/>
              <w:bottom w:val="single" w:sz="4" w:space="0" w:color="auto"/>
              <w:right w:val="single" w:sz="4" w:space="0" w:color="auto"/>
            </w:tcBorders>
            <w:noWrap/>
            <w:hideMark/>
          </w:tcPr>
          <w:p w14:paraId="3A1F2B21" w14:textId="77777777" w:rsidR="008C47DA" w:rsidRPr="008C47DA" w:rsidRDefault="008C47DA" w:rsidP="008C47DA">
            <w:pPr>
              <w:spacing w:after="0" w:line="240" w:lineRule="auto"/>
              <w:jc w:val="center"/>
              <w:rPr>
                <w:rFonts w:cstheme="minorHAnsi"/>
                <w:b/>
                <w:bCs/>
              </w:rPr>
            </w:pPr>
            <w:r w:rsidRPr="008C47DA">
              <w:rPr>
                <w:rFonts w:cstheme="minorHAnsi"/>
                <w:b/>
                <w:bCs/>
              </w:rPr>
              <w:t>Patients</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8C67192" w14:textId="77777777" w:rsidR="008C47DA" w:rsidRPr="008C47DA" w:rsidRDefault="008C47DA" w:rsidP="008C47DA">
            <w:pPr>
              <w:spacing w:after="0" w:line="240" w:lineRule="auto"/>
              <w:jc w:val="center"/>
              <w:rPr>
                <w:rFonts w:cstheme="minorHAnsi"/>
                <w:b/>
                <w:bCs/>
              </w:rPr>
            </w:pPr>
            <w:r w:rsidRPr="008C47DA">
              <w:rPr>
                <w:rFonts w:cstheme="minorHAnsi"/>
                <w:b/>
                <w:bCs/>
              </w:rPr>
              <w:t>1,574</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4FFFCD0C" w14:textId="77777777" w:rsidR="008C47DA" w:rsidRPr="008C47DA" w:rsidRDefault="008C47DA" w:rsidP="008C47DA">
            <w:pPr>
              <w:spacing w:after="0" w:line="240" w:lineRule="auto"/>
              <w:jc w:val="center"/>
              <w:rPr>
                <w:rFonts w:cstheme="minorHAnsi"/>
                <w:b/>
                <w:bCs/>
              </w:rPr>
            </w:pPr>
            <w:r w:rsidRPr="008C47DA">
              <w:rPr>
                <w:rFonts w:cstheme="minorHAnsi"/>
                <w:b/>
                <w:bCs/>
              </w:rPr>
              <w:t>1,618</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36A2B7D" w14:textId="77777777" w:rsidR="008C47DA" w:rsidRPr="008C47DA" w:rsidRDefault="008C47DA" w:rsidP="008C47DA">
            <w:pPr>
              <w:spacing w:after="0" w:line="240" w:lineRule="auto"/>
              <w:jc w:val="center"/>
              <w:rPr>
                <w:rFonts w:cstheme="minorHAnsi"/>
                <w:b/>
                <w:bCs/>
              </w:rPr>
            </w:pPr>
            <w:r w:rsidRPr="008C47DA">
              <w:rPr>
                <w:rFonts w:cstheme="minorHAnsi"/>
                <w:b/>
                <w:bCs/>
              </w:rPr>
              <w:t>1,511</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3B1323FE" w14:textId="77777777" w:rsidR="008C47DA" w:rsidRPr="008C47DA" w:rsidRDefault="008C47DA" w:rsidP="008C47DA">
            <w:pPr>
              <w:spacing w:after="0" w:line="240" w:lineRule="auto"/>
              <w:jc w:val="center"/>
              <w:rPr>
                <w:rFonts w:cstheme="minorHAnsi"/>
                <w:b/>
                <w:bCs/>
              </w:rPr>
            </w:pPr>
            <w:r w:rsidRPr="008C47DA">
              <w:rPr>
                <w:rFonts w:cstheme="minorHAnsi"/>
                <w:b/>
                <w:bCs/>
              </w:rPr>
              <w:t>1,570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85888FC" w14:textId="77777777" w:rsidR="008C47DA" w:rsidRPr="008C47DA" w:rsidRDefault="008C47DA" w:rsidP="008C47DA">
            <w:pPr>
              <w:spacing w:after="0" w:line="240" w:lineRule="auto"/>
              <w:jc w:val="center"/>
              <w:rPr>
                <w:rFonts w:cstheme="minorHAnsi"/>
                <w:b/>
                <w:bCs/>
              </w:rPr>
            </w:pPr>
            <w:r w:rsidRPr="008C47DA">
              <w:rPr>
                <w:rFonts w:cstheme="minorHAnsi"/>
                <w:b/>
                <w:bCs/>
              </w:rPr>
              <w:t>1,657</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278C10DA" w14:textId="77777777" w:rsidR="008C47DA" w:rsidRPr="008C47DA" w:rsidRDefault="008C47DA" w:rsidP="008C47DA">
            <w:pPr>
              <w:spacing w:after="0" w:line="240" w:lineRule="auto"/>
              <w:jc w:val="center"/>
              <w:rPr>
                <w:rFonts w:cstheme="minorHAnsi"/>
                <w:b/>
                <w:bCs/>
              </w:rPr>
            </w:pPr>
            <w:r w:rsidRPr="008C47DA">
              <w:rPr>
                <w:rFonts w:cstheme="minorHAnsi"/>
                <w:b/>
                <w:bCs/>
              </w:rPr>
              <w:t>1,604</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436F44DA" w14:textId="77777777" w:rsidR="008C47DA" w:rsidRPr="008C47DA" w:rsidRDefault="008C47DA" w:rsidP="008C47DA">
            <w:pPr>
              <w:spacing w:after="0" w:line="240" w:lineRule="auto"/>
              <w:jc w:val="center"/>
              <w:rPr>
                <w:rFonts w:cstheme="minorHAnsi"/>
                <w:b/>
                <w:bCs/>
              </w:rPr>
            </w:pPr>
            <w:r w:rsidRPr="008C47DA">
              <w:rPr>
                <w:rFonts w:cstheme="minorHAnsi"/>
                <w:b/>
                <w:bCs/>
              </w:rPr>
              <w:t>1,484</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B127E1" w14:textId="77777777" w:rsidR="008C47DA" w:rsidRPr="008C47DA" w:rsidRDefault="008C47DA" w:rsidP="008C47DA">
            <w:pPr>
              <w:spacing w:after="0" w:line="240" w:lineRule="auto"/>
              <w:jc w:val="center"/>
              <w:rPr>
                <w:rFonts w:cstheme="minorHAnsi"/>
                <w:b/>
                <w:bCs/>
              </w:rPr>
            </w:pPr>
            <w:r w:rsidRPr="008C47DA">
              <w:rPr>
                <w:rFonts w:cstheme="minorHAnsi"/>
                <w:b/>
                <w:bCs/>
              </w:rPr>
              <w:t>1,659</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D539D8F" w14:textId="77777777" w:rsidR="008C47DA" w:rsidRPr="008C47DA" w:rsidRDefault="008C47DA" w:rsidP="008C47DA">
            <w:pPr>
              <w:spacing w:after="0" w:line="240" w:lineRule="auto"/>
              <w:jc w:val="center"/>
              <w:rPr>
                <w:rFonts w:cstheme="minorHAnsi"/>
                <w:b/>
                <w:bCs/>
              </w:rPr>
            </w:pPr>
            <w:r w:rsidRPr="008C47DA">
              <w:rPr>
                <w:rFonts w:cstheme="minorHAnsi"/>
                <w:b/>
                <w:bCs/>
              </w:rPr>
              <w:t>1,641</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5BD040FA" w14:textId="77777777" w:rsidR="008C47DA" w:rsidRPr="008C47DA" w:rsidRDefault="008C47DA" w:rsidP="008C47DA">
            <w:pPr>
              <w:spacing w:after="0" w:line="240" w:lineRule="auto"/>
              <w:jc w:val="center"/>
              <w:rPr>
                <w:rFonts w:cstheme="minorHAnsi"/>
                <w:b/>
                <w:bCs/>
              </w:rPr>
            </w:pPr>
            <w:r w:rsidRPr="008C47DA">
              <w:rPr>
                <w:rFonts w:cstheme="minorHAnsi"/>
                <w:b/>
                <w:bCs/>
              </w:rPr>
              <w:t>1,609</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F59A257" w14:textId="77777777" w:rsidR="008C47DA" w:rsidRPr="008C47DA" w:rsidRDefault="008C47DA" w:rsidP="008C47DA">
            <w:pPr>
              <w:spacing w:after="0" w:line="240" w:lineRule="auto"/>
              <w:jc w:val="center"/>
              <w:rPr>
                <w:rFonts w:cstheme="minorHAnsi"/>
                <w:b/>
                <w:bCs/>
              </w:rPr>
            </w:pPr>
            <w:r w:rsidRPr="008C47DA">
              <w:rPr>
                <w:rFonts w:cstheme="minorHAnsi"/>
                <w:b/>
                <w:bCs/>
              </w:rPr>
              <w:t>1,570</w:t>
            </w:r>
          </w:p>
        </w:tc>
        <w:tc>
          <w:tcPr>
            <w:tcW w:w="742" w:type="dxa"/>
            <w:tcBorders>
              <w:top w:val="single" w:sz="4" w:space="0" w:color="auto"/>
              <w:left w:val="single" w:sz="4" w:space="0" w:color="auto"/>
              <w:bottom w:val="single" w:sz="4" w:space="0" w:color="auto"/>
              <w:right w:val="single" w:sz="4" w:space="0" w:color="auto"/>
            </w:tcBorders>
            <w:noWrap/>
            <w:vAlign w:val="bottom"/>
            <w:hideMark/>
          </w:tcPr>
          <w:p w14:paraId="0CB5D68D" w14:textId="77777777" w:rsidR="008C47DA" w:rsidRPr="008C47DA" w:rsidRDefault="008C47DA" w:rsidP="008C47DA">
            <w:pPr>
              <w:spacing w:after="0" w:line="240" w:lineRule="auto"/>
              <w:jc w:val="center"/>
              <w:rPr>
                <w:rFonts w:cstheme="minorHAnsi"/>
                <w:b/>
                <w:bCs/>
              </w:rPr>
            </w:pPr>
            <w:r w:rsidRPr="008C47DA">
              <w:rPr>
                <w:rFonts w:cstheme="minorHAnsi"/>
                <w:b/>
                <w:bCs/>
              </w:rPr>
              <w:t>1,531</w:t>
            </w:r>
          </w:p>
        </w:tc>
      </w:tr>
      <w:tr w:rsidR="008C47DA" w:rsidRPr="008C47DA" w14:paraId="497E7D43" w14:textId="77777777" w:rsidTr="008C47DA">
        <w:trPr>
          <w:trHeight w:val="362"/>
          <w:jc w:val="center"/>
        </w:trPr>
        <w:tc>
          <w:tcPr>
            <w:tcW w:w="879" w:type="dxa"/>
            <w:tcBorders>
              <w:top w:val="single" w:sz="4" w:space="0" w:color="auto"/>
              <w:left w:val="single" w:sz="4" w:space="0" w:color="auto"/>
              <w:bottom w:val="single" w:sz="4" w:space="0" w:color="auto"/>
              <w:right w:val="single" w:sz="4" w:space="0" w:color="auto"/>
            </w:tcBorders>
            <w:noWrap/>
            <w:hideMark/>
          </w:tcPr>
          <w:p w14:paraId="5D9606C1" w14:textId="77777777" w:rsidR="008C47DA" w:rsidRPr="008C47DA" w:rsidRDefault="008C47DA" w:rsidP="008C47DA">
            <w:pPr>
              <w:spacing w:after="0" w:line="240" w:lineRule="auto"/>
              <w:jc w:val="center"/>
              <w:rPr>
                <w:rFonts w:cstheme="minorHAnsi"/>
                <w:b/>
                <w:bCs/>
              </w:rPr>
            </w:pPr>
            <w:r w:rsidRPr="008C47DA">
              <w:rPr>
                <w:rFonts w:cstheme="minorHAnsi"/>
                <w:b/>
                <w:bCs/>
              </w:rPr>
              <w:t>% of whole</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F8DF2C0" w14:textId="77777777" w:rsidR="008C47DA" w:rsidRPr="008C47DA" w:rsidRDefault="008C47DA" w:rsidP="008C47DA">
            <w:pPr>
              <w:spacing w:after="0" w:line="240" w:lineRule="auto"/>
              <w:jc w:val="center"/>
              <w:rPr>
                <w:rFonts w:cstheme="minorHAnsi"/>
                <w:b/>
                <w:bCs/>
              </w:rPr>
            </w:pPr>
            <w:r w:rsidRPr="008C47DA">
              <w:rPr>
                <w:rFonts w:cstheme="minorHAnsi"/>
                <w:b/>
                <w:bCs/>
              </w:rPr>
              <w:t>60%</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63A6AB61" w14:textId="77777777" w:rsidR="008C47DA" w:rsidRPr="008C47DA" w:rsidRDefault="008C47DA" w:rsidP="008C47DA">
            <w:pPr>
              <w:spacing w:after="0" w:line="240" w:lineRule="auto"/>
              <w:jc w:val="center"/>
              <w:rPr>
                <w:rFonts w:cstheme="minorHAnsi"/>
                <w:b/>
                <w:bCs/>
              </w:rPr>
            </w:pPr>
            <w:r w:rsidRPr="008C47DA">
              <w:rPr>
                <w:rFonts w:cstheme="minorHAnsi"/>
                <w:b/>
                <w:bCs/>
              </w:rPr>
              <w:t>60%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C099D34" w14:textId="77777777" w:rsidR="008C47DA" w:rsidRPr="008C47DA" w:rsidRDefault="008C47DA" w:rsidP="008C47DA">
            <w:pPr>
              <w:spacing w:after="0" w:line="240" w:lineRule="auto"/>
              <w:jc w:val="center"/>
              <w:rPr>
                <w:rFonts w:cstheme="minorHAnsi"/>
                <w:b/>
                <w:bCs/>
              </w:rPr>
            </w:pPr>
            <w:r w:rsidRPr="008C47DA">
              <w:rPr>
                <w:rFonts w:cstheme="minorHAnsi"/>
                <w:b/>
                <w:bCs/>
              </w:rPr>
              <w:t>59%</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67E09C1F" w14:textId="77777777" w:rsidR="008C47DA" w:rsidRPr="008C47DA" w:rsidRDefault="008C47DA" w:rsidP="008C47DA">
            <w:pPr>
              <w:spacing w:after="0" w:line="240" w:lineRule="auto"/>
              <w:jc w:val="center"/>
              <w:rPr>
                <w:rFonts w:cstheme="minorHAnsi"/>
                <w:b/>
                <w:bCs/>
              </w:rPr>
            </w:pPr>
            <w:r w:rsidRPr="008C47DA">
              <w:rPr>
                <w:rFonts w:cstheme="minorHAnsi"/>
                <w:b/>
                <w:bCs/>
              </w:rPr>
              <w:t>59%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ED22F00" w14:textId="77777777" w:rsidR="008C47DA" w:rsidRPr="008C47DA" w:rsidRDefault="008C47DA" w:rsidP="008C47DA">
            <w:pPr>
              <w:spacing w:after="0" w:line="240" w:lineRule="auto"/>
              <w:jc w:val="center"/>
              <w:rPr>
                <w:rFonts w:cstheme="minorHAnsi"/>
                <w:b/>
                <w:bCs/>
              </w:rPr>
            </w:pPr>
            <w:r w:rsidRPr="008C47DA">
              <w:rPr>
                <w:rFonts w:cstheme="minorHAnsi"/>
                <w:b/>
                <w:bCs/>
              </w:rPr>
              <w:t>61%</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061CF64" w14:textId="77777777" w:rsidR="008C47DA" w:rsidRPr="008C47DA" w:rsidRDefault="008C47DA" w:rsidP="008C47DA">
            <w:pPr>
              <w:spacing w:after="0" w:line="240" w:lineRule="auto"/>
              <w:jc w:val="center"/>
              <w:rPr>
                <w:rFonts w:cstheme="minorHAnsi"/>
                <w:b/>
                <w:bCs/>
              </w:rPr>
            </w:pPr>
            <w:r w:rsidRPr="008C47DA">
              <w:rPr>
                <w:rFonts w:cstheme="minorHAnsi"/>
                <w:b/>
                <w:bCs/>
              </w:rPr>
              <w:t>60%</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35E189A" w14:textId="77777777" w:rsidR="008C47DA" w:rsidRPr="008C47DA" w:rsidRDefault="008C47DA" w:rsidP="008C47DA">
            <w:pPr>
              <w:spacing w:after="0" w:line="240" w:lineRule="auto"/>
              <w:jc w:val="center"/>
              <w:rPr>
                <w:rFonts w:cstheme="minorHAnsi"/>
                <w:b/>
                <w:bCs/>
              </w:rPr>
            </w:pPr>
            <w:r w:rsidRPr="008C47DA">
              <w:rPr>
                <w:rFonts w:cstheme="minorHAnsi"/>
                <w:b/>
                <w:bCs/>
              </w:rPr>
              <w:t>58%</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5BE2ADA7" w14:textId="77777777" w:rsidR="008C47DA" w:rsidRPr="008C47DA" w:rsidRDefault="008C47DA" w:rsidP="008C47DA">
            <w:pPr>
              <w:spacing w:after="0" w:line="240" w:lineRule="auto"/>
              <w:jc w:val="center"/>
              <w:rPr>
                <w:rFonts w:cstheme="minorHAnsi"/>
                <w:b/>
                <w:bCs/>
              </w:rPr>
            </w:pPr>
            <w:r w:rsidRPr="008C47DA">
              <w:rPr>
                <w:rFonts w:cstheme="minorHAnsi"/>
                <w:b/>
                <w:bCs/>
              </w:rPr>
              <w:t>62%</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222CB41D" w14:textId="77777777" w:rsidR="008C47DA" w:rsidRPr="008C47DA" w:rsidRDefault="008C47DA" w:rsidP="008C47DA">
            <w:pPr>
              <w:spacing w:after="0" w:line="240" w:lineRule="auto"/>
              <w:jc w:val="center"/>
              <w:rPr>
                <w:rFonts w:cstheme="minorHAnsi"/>
                <w:b/>
                <w:bCs/>
              </w:rPr>
            </w:pPr>
            <w:r w:rsidRPr="008C47DA">
              <w:rPr>
                <w:rFonts w:cstheme="minorHAnsi"/>
                <w:b/>
                <w:bCs/>
              </w:rPr>
              <w:t>61%</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8068B36" w14:textId="77777777" w:rsidR="008C47DA" w:rsidRPr="008C47DA" w:rsidRDefault="008C47DA" w:rsidP="008C47DA">
            <w:pPr>
              <w:spacing w:after="0" w:line="240" w:lineRule="auto"/>
              <w:jc w:val="center"/>
              <w:rPr>
                <w:rFonts w:cstheme="minorHAnsi"/>
                <w:b/>
                <w:bCs/>
              </w:rPr>
            </w:pPr>
            <w:r w:rsidRPr="008C47DA">
              <w:rPr>
                <w:rFonts w:cstheme="minorHAnsi"/>
                <w:b/>
                <w:bCs/>
              </w:rPr>
              <w:t>60%</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1E1765D2" w14:textId="77777777" w:rsidR="008C47DA" w:rsidRPr="008C47DA" w:rsidRDefault="008C47DA" w:rsidP="008C47DA">
            <w:pPr>
              <w:spacing w:after="0" w:line="240" w:lineRule="auto"/>
              <w:jc w:val="center"/>
              <w:rPr>
                <w:rFonts w:cstheme="minorHAnsi"/>
                <w:b/>
                <w:bCs/>
              </w:rPr>
            </w:pPr>
            <w:r w:rsidRPr="008C47DA">
              <w:rPr>
                <w:rFonts w:cstheme="minorHAnsi"/>
                <w:b/>
                <w:bCs/>
              </w:rPr>
              <w:t>60%</w:t>
            </w:r>
          </w:p>
        </w:tc>
        <w:tc>
          <w:tcPr>
            <w:tcW w:w="742" w:type="dxa"/>
            <w:tcBorders>
              <w:top w:val="single" w:sz="4" w:space="0" w:color="auto"/>
              <w:left w:val="single" w:sz="4" w:space="0" w:color="auto"/>
              <w:bottom w:val="single" w:sz="4" w:space="0" w:color="auto"/>
              <w:right w:val="single" w:sz="4" w:space="0" w:color="auto"/>
            </w:tcBorders>
            <w:noWrap/>
            <w:vAlign w:val="bottom"/>
            <w:hideMark/>
          </w:tcPr>
          <w:p w14:paraId="02A9DC8B" w14:textId="77777777" w:rsidR="008C47DA" w:rsidRPr="008C47DA" w:rsidRDefault="008C47DA" w:rsidP="008C47DA">
            <w:pPr>
              <w:spacing w:after="0" w:line="240" w:lineRule="auto"/>
              <w:jc w:val="center"/>
              <w:rPr>
                <w:rFonts w:cstheme="minorHAnsi"/>
                <w:b/>
                <w:bCs/>
              </w:rPr>
            </w:pPr>
            <w:r w:rsidRPr="008C47DA">
              <w:rPr>
                <w:rFonts w:cstheme="minorHAnsi"/>
                <w:b/>
                <w:bCs/>
              </w:rPr>
              <w:t>60%</w:t>
            </w:r>
          </w:p>
        </w:tc>
      </w:tr>
    </w:tbl>
    <w:p w14:paraId="3078C9A0" w14:textId="77777777" w:rsidR="00BF4E15" w:rsidRDefault="00BF4E15" w:rsidP="00BF4E15">
      <w:pPr>
        <w:spacing w:after="0" w:line="240" w:lineRule="auto"/>
        <w:rPr>
          <w:rFonts w:cstheme="minorHAnsi"/>
          <w:b/>
          <w:bCs/>
        </w:rPr>
      </w:pPr>
    </w:p>
    <w:p w14:paraId="05F42260" w14:textId="35E4592B" w:rsidR="00BF4E15" w:rsidRPr="00BF4E15" w:rsidRDefault="00BF4E15" w:rsidP="00BF4E15">
      <w:pPr>
        <w:spacing w:after="0" w:line="240" w:lineRule="auto"/>
        <w:rPr>
          <w:rFonts w:cstheme="minorHAnsi"/>
          <w:b/>
          <w:bCs/>
        </w:rPr>
      </w:pPr>
      <w:r w:rsidRPr="00BF4E15">
        <w:rPr>
          <w:rFonts w:cstheme="minorHAnsi"/>
          <w:b/>
          <w:bCs/>
        </w:rPr>
        <w:t>KPI: % of those entering drugs treatment who do so within 24 hours of presentation</w:t>
      </w:r>
    </w:p>
    <w:p w14:paraId="412EDC2B" w14:textId="2BEB9AFE" w:rsidR="00BF4E15" w:rsidRPr="00BF4E15" w:rsidRDefault="00BF4E15" w:rsidP="00BF4E15">
      <w:pPr>
        <w:spacing w:after="0" w:line="240" w:lineRule="auto"/>
        <w:rPr>
          <w:rFonts w:cstheme="minorHAnsi"/>
        </w:rPr>
      </w:pPr>
      <w:r>
        <w:rPr>
          <w:rFonts w:cstheme="minorHAnsi"/>
        </w:rPr>
        <w:t>Q</w:t>
      </w:r>
      <w:r w:rsidRPr="00BF4E15">
        <w:rPr>
          <w:rFonts w:cstheme="minorHAnsi"/>
        </w:rPr>
        <w:t>4 2023-34 is the first period for which this can be reported. 90% of patients (n=126) seeking ORT were assessed for medication within 24 hours of presentation in that quarter and 95% within 3 days. his is in line with MAT expectation and reflects a level of consistent availability of treatment that has not been available before, and which patient feedback indicates is extremely valued’</w:t>
      </w:r>
    </w:p>
    <w:p w14:paraId="3DC13DAF" w14:textId="77777777" w:rsidR="00BF4E15" w:rsidRPr="00BF4E15" w:rsidRDefault="00BF4E15" w:rsidP="00BF4E15">
      <w:pPr>
        <w:spacing w:after="0" w:line="240" w:lineRule="auto"/>
        <w:rPr>
          <w:rFonts w:cstheme="minorHAnsi"/>
          <w:b/>
          <w:bCs/>
        </w:rPr>
      </w:pPr>
    </w:p>
    <w:p w14:paraId="396827CF" w14:textId="04EDC9F7" w:rsidR="00BF4E15" w:rsidRPr="00BF4E15" w:rsidRDefault="00BF4E15" w:rsidP="00BF4E15">
      <w:pPr>
        <w:spacing w:after="0" w:line="240" w:lineRule="auto"/>
        <w:rPr>
          <w:rFonts w:cstheme="minorHAnsi"/>
          <w:b/>
          <w:bCs/>
          <w:color w:val="000000"/>
          <w:lang w:eastAsia="en-GB"/>
        </w:rPr>
      </w:pPr>
      <w:r w:rsidRPr="00BF4E15">
        <w:rPr>
          <w:rFonts w:cstheme="minorHAnsi"/>
          <w:b/>
          <w:bCs/>
        </w:rPr>
        <w:t>KPI:</w:t>
      </w:r>
      <w:r w:rsidRPr="00BF4E15">
        <w:rPr>
          <w:rFonts w:cstheme="minorHAnsi"/>
          <w:b/>
          <w:bCs/>
          <w:color w:val="000000"/>
          <w:lang w:eastAsia="en-GB"/>
        </w:rPr>
        <w:t xml:space="preserve"> Number and % of Edinburgh OST patients receiving a buvidal prescription </w:t>
      </w:r>
    </w:p>
    <w:tbl>
      <w:tblPr>
        <w:tblStyle w:val="TableGrid1"/>
        <w:tblW w:w="0" w:type="auto"/>
        <w:tblLook w:val="04A0" w:firstRow="1" w:lastRow="0" w:firstColumn="1" w:lastColumn="0" w:noHBand="0" w:noVBand="1"/>
      </w:tblPr>
      <w:tblGrid>
        <w:gridCol w:w="2091"/>
        <w:gridCol w:w="2091"/>
        <w:gridCol w:w="2091"/>
        <w:gridCol w:w="2091"/>
      </w:tblGrid>
      <w:tr w:rsidR="00BF4E15" w:rsidRPr="00BF4E15" w14:paraId="22774488" w14:textId="77777777" w:rsidTr="009E1A3E">
        <w:tc>
          <w:tcPr>
            <w:tcW w:w="2091" w:type="dxa"/>
          </w:tcPr>
          <w:p w14:paraId="0CB87E2C" w14:textId="77777777" w:rsidR="00BF4E15" w:rsidRPr="00BF4E15" w:rsidRDefault="00BF4E15" w:rsidP="00BF4E15">
            <w:pPr>
              <w:rPr>
                <w:rFonts w:cstheme="minorHAnsi"/>
                <w:b/>
                <w:bCs/>
                <w:color w:val="000000"/>
                <w:lang w:eastAsia="en-GB"/>
              </w:rPr>
            </w:pPr>
          </w:p>
        </w:tc>
        <w:tc>
          <w:tcPr>
            <w:tcW w:w="2091" w:type="dxa"/>
          </w:tcPr>
          <w:p w14:paraId="1CCD1210" w14:textId="77777777" w:rsidR="00BF4E15" w:rsidRPr="00BF4E15" w:rsidRDefault="00BF4E15" w:rsidP="00BF4E15">
            <w:pPr>
              <w:rPr>
                <w:rFonts w:cstheme="minorHAnsi"/>
                <w:b/>
                <w:bCs/>
                <w:color w:val="000000"/>
                <w:lang w:eastAsia="en-GB"/>
              </w:rPr>
            </w:pPr>
            <w:r w:rsidRPr="00BF4E15">
              <w:rPr>
                <w:rFonts w:cstheme="minorHAnsi"/>
                <w:b/>
                <w:bCs/>
                <w:color w:val="000000"/>
                <w:lang w:eastAsia="en-GB"/>
              </w:rPr>
              <w:t>2021-22</w:t>
            </w:r>
          </w:p>
        </w:tc>
        <w:tc>
          <w:tcPr>
            <w:tcW w:w="2091" w:type="dxa"/>
          </w:tcPr>
          <w:p w14:paraId="023AAC82" w14:textId="77777777" w:rsidR="00BF4E15" w:rsidRPr="00BF4E15" w:rsidRDefault="00BF4E15" w:rsidP="00BF4E15">
            <w:pPr>
              <w:rPr>
                <w:rFonts w:cstheme="minorHAnsi"/>
                <w:b/>
                <w:bCs/>
                <w:color w:val="000000"/>
                <w:lang w:eastAsia="en-GB"/>
              </w:rPr>
            </w:pPr>
            <w:r w:rsidRPr="00BF4E15">
              <w:rPr>
                <w:rFonts w:cstheme="minorHAnsi"/>
                <w:b/>
                <w:bCs/>
                <w:color w:val="000000"/>
                <w:lang w:eastAsia="en-GB"/>
              </w:rPr>
              <w:t>2022-23</w:t>
            </w:r>
          </w:p>
        </w:tc>
        <w:tc>
          <w:tcPr>
            <w:tcW w:w="2091" w:type="dxa"/>
          </w:tcPr>
          <w:p w14:paraId="1FF8AFA6" w14:textId="77777777" w:rsidR="00BF4E15" w:rsidRPr="00BF4E15" w:rsidRDefault="00BF4E15" w:rsidP="00BF4E15">
            <w:pPr>
              <w:rPr>
                <w:rFonts w:cstheme="minorHAnsi"/>
                <w:b/>
                <w:bCs/>
                <w:color w:val="000000"/>
                <w:lang w:eastAsia="en-GB"/>
              </w:rPr>
            </w:pPr>
            <w:r w:rsidRPr="00BF4E15">
              <w:rPr>
                <w:rFonts w:cstheme="minorHAnsi"/>
                <w:b/>
                <w:bCs/>
                <w:color w:val="000000"/>
                <w:lang w:eastAsia="en-GB"/>
              </w:rPr>
              <w:t>2023-24</w:t>
            </w:r>
          </w:p>
        </w:tc>
      </w:tr>
      <w:tr w:rsidR="00BF4E15" w:rsidRPr="00BF4E15" w14:paraId="4B6E9A70" w14:textId="77777777" w:rsidTr="009E1A3E">
        <w:tc>
          <w:tcPr>
            <w:tcW w:w="2091" w:type="dxa"/>
          </w:tcPr>
          <w:p w14:paraId="548CDBFD" w14:textId="77777777" w:rsidR="00BF4E15" w:rsidRPr="00BF4E15" w:rsidRDefault="00BF4E15" w:rsidP="00BF4E15">
            <w:pPr>
              <w:rPr>
                <w:rFonts w:cstheme="minorHAnsi"/>
                <w:color w:val="000000"/>
                <w:lang w:eastAsia="en-GB"/>
              </w:rPr>
            </w:pPr>
          </w:p>
        </w:tc>
        <w:tc>
          <w:tcPr>
            <w:tcW w:w="6273" w:type="dxa"/>
            <w:gridSpan w:val="3"/>
          </w:tcPr>
          <w:p w14:paraId="3AE056CC" w14:textId="77777777" w:rsidR="00BF4E15" w:rsidRPr="00BF4E15" w:rsidRDefault="00BF4E15" w:rsidP="00BF4E15">
            <w:pPr>
              <w:jc w:val="center"/>
              <w:rPr>
                <w:rFonts w:cstheme="minorHAnsi"/>
                <w:b/>
                <w:bCs/>
                <w:color w:val="000000"/>
                <w:lang w:eastAsia="en-GB"/>
              </w:rPr>
            </w:pPr>
            <w:r w:rsidRPr="00BF4E15">
              <w:rPr>
                <w:rFonts w:cstheme="minorHAnsi"/>
                <w:b/>
                <w:bCs/>
                <w:color w:val="000000"/>
                <w:lang w:eastAsia="en-GB"/>
              </w:rPr>
              <w:t>All Patients</w:t>
            </w:r>
          </w:p>
        </w:tc>
      </w:tr>
      <w:tr w:rsidR="00BF4E15" w:rsidRPr="00BF4E15" w14:paraId="7FA4791D" w14:textId="77777777" w:rsidTr="009E1A3E">
        <w:tc>
          <w:tcPr>
            <w:tcW w:w="2091" w:type="dxa"/>
          </w:tcPr>
          <w:p w14:paraId="6D279BB8" w14:textId="77777777" w:rsidR="00BF4E15" w:rsidRPr="00BF4E15" w:rsidRDefault="00BF4E15" w:rsidP="00BF4E15">
            <w:pPr>
              <w:rPr>
                <w:rFonts w:cstheme="minorHAnsi"/>
                <w:color w:val="000000"/>
                <w:lang w:eastAsia="en-GB"/>
              </w:rPr>
            </w:pPr>
            <w:r w:rsidRPr="00BF4E15">
              <w:rPr>
                <w:rFonts w:cstheme="minorHAnsi"/>
                <w:color w:val="000000"/>
                <w:lang w:eastAsia="en-GB"/>
              </w:rPr>
              <w:t xml:space="preserve">Number </w:t>
            </w:r>
          </w:p>
        </w:tc>
        <w:tc>
          <w:tcPr>
            <w:tcW w:w="2091" w:type="dxa"/>
          </w:tcPr>
          <w:p w14:paraId="238DC44D"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176</w:t>
            </w:r>
          </w:p>
        </w:tc>
        <w:tc>
          <w:tcPr>
            <w:tcW w:w="2091" w:type="dxa"/>
          </w:tcPr>
          <w:p w14:paraId="10B08B87"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299</w:t>
            </w:r>
          </w:p>
        </w:tc>
        <w:tc>
          <w:tcPr>
            <w:tcW w:w="2091" w:type="dxa"/>
          </w:tcPr>
          <w:p w14:paraId="5FE56D71"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412</w:t>
            </w:r>
          </w:p>
        </w:tc>
      </w:tr>
      <w:tr w:rsidR="00BF4E15" w:rsidRPr="00BF4E15" w14:paraId="5940C9D2" w14:textId="77777777" w:rsidTr="009E1A3E">
        <w:tc>
          <w:tcPr>
            <w:tcW w:w="2091" w:type="dxa"/>
          </w:tcPr>
          <w:p w14:paraId="63C75168" w14:textId="77777777" w:rsidR="00BF4E15" w:rsidRPr="00BF4E15" w:rsidRDefault="00BF4E15" w:rsidP="00BF4E15">
            <w:pPr>
              <w:rPr>
                <w:rFonts w:cstheme="minorHAnsi"/>
                <w:color w:val="000000"/>
                <w:lang w:eastAsia="en-GB"/>
              </w:rPr>
            </w:pPr>
            <w:r w:rsidRPr="00BF4E15">
              <w:rPr>
                <w:rFonts w:cstheme="minorHAnsi"/>
                <w:color w:val="000000"/>
                <w:lang w:eastAsia="en-GB"/>
              </w:rPr>
              <w:t>% OST</w:t>
            </w:r>
          </w:p>
        </w:tc>
        <w:tc>
          <w:tcPr>
            <w:tcW w:w="2091" w:type="dxa"/>
          </w:tcPr>
          <w:p w14:paraId="708AF6FE"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6%</w:t>
            </w:r>
          </w:p>
        </w:tc>
        <w:tc>
          <w:tcPr>
            <w:tcW w:w="2091" w:type="dxa"/>
          </w:tcPr>
          <w:p w14:paraId="1E3263EA"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10%</w:t>
            </w:r>
          </w:p>
        </w:tc>
        <w:tc>
          <w:tcPr>
            <w:tcW w:w="2091" w:type="dxa"/>
          </w:tcPr>
          <w:p w14:paraId="0E2FC261"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14%</w:t>
            </w:r>
          </w:p>
        </w:tc>
      </w:tr>
      <w:tr w:rsidR="00BF4E15" w:rsidRPr="00BF4E15" w14:paraId="1908A8E2" w14:textId="77777777" w:rsidTr="009E1A3E">
        <w:tc>
          <w:tcPr>
            <w:tcW w:w="2091" w:type="dxa"/>
          </w:tcPr>
          <w:p w14:paraId="258B5B2D" w14:textId="77777777" w:rsidR="00BF4E15" w:rsidRPr="00BF4E15" w:rsidRDefault="00BF4E15" w:rsidP="00BF4E15">
            <w:pPr>
              <w:rPr>
                <w:rFonts w:cstheme="minorHAnsi"/>
                <w:b/>
                <w:bCs/>
                <w:color w:val="000000"/>
                <w:lang w:eastAsia="en-GB"/>
              </w:rPr>
            </w:pPr>
          </w:p>
        </w:tc>
        <w:tc>
          <w:tcPr>
            <w:tcW w:w="6273" w:type="dxa"/>
            <w:gridSpan w:val="3"/>
          </w:tcPr>
          <w:p w14:paraId="6E3597AD" w14:textId="77777777" w:rsidR="00BF4E15" w:rsidRPr="00BF4E15" w:rsidRDefault="00BF4E15" w:rsidP="00BF4E15">
            <w:pPr>
              <w:jc w:val="center"/>
              <w:rPr>
                <w:rFonts w:cstheme="minorHAnsi"/>
                <w:b/>
                <w:bCs/>
                <w:color w:val="000000"/>
                <w:lang w:eastAsia="en-GB"/>
              </w:rPr>
            </w:pPr>
            <w:r w:rsidRPr="00BF4E15">
              <w:rPr>
                <w:rFonts w:cstheme="minorHAnsi"/>
                <w:b/>
                <w:bCs/>
                <w:color w:val="000000"/>
                <w:lang w:eastAsia="en-GB"/>
              </w:rPr>
              <w:t>Secondary Care Only</w:t>
            </w:r>
          </w:p>
        </w:tc>
      </w:tr>
      <w:tr w:rsidR="00BF4E15" w:rsidRPr="00BF4E15" w14:paraId="003DA71D" w14:textId="77777777" w:rsidTr="009E1A3E">
        <w:tc>
          <w:tcPr>
            <w:tcW w:w="2091" w:type="dxa"/>
          </w:tcPr>
          <w:p w14:paraId="7C43A244" w14:textId="77777777" w:rsidR="00BF4E15" w:rsidRPr="00BF4E15" w:rsidRDefault="00BF4E15" w:rsidP="00BF4E15">
            <w:pPr>
              <w:rPr>
                <w:rFonts w:cstheme="minorHAnsi"/>
                <w:color w:val="000000"/>
                <w:lang w:eastAsia="en-GB"/>
              </w:rPr>
            </w:pPr>
            <w:r w:rsidRPr="00BF4E15">
              <w:rPr>
                <w:rFonts w:cstheme="minorHAnsi"/>
                <w:color w:val="000000"/>
                <w:lang w:eastAsia="en-GB"/>
              </w:rPr>
              <w:t>Number</w:t>
            </w:r>
          </w:p>
        </w:tc>
        <w:tc>
          <w:tcPr>
            <w:tcW w:w="2091" w:type="dxa"/>
          </w:tcPr>
          <w:p w14:paraId="49B5056F"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160</w:t>
            </w:r>
          </w:p>
        </w:tc>
        <w:tc>
          <w:tcPr>
            <w:tcW w:w="2091" w:type="dxa"/>
          </w:tcPr>
          <w:p w14:paraId="409E618B"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241</w:t>
            </w:r>
          </w:p>
        </w:tc>
        <w:tc>
          <w:tcPr>
            <w:tcW w:w="2091" w:type="dxa"/>
          </w:tcPr>
          <w:p w14:paraId="1710F2C1"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304</w:t>
            </w:r>
          </w:p>
        </w:tc>
      </w:tr>
      <w:tr w:rsidR="00BF4E15" w:rsidRPr="00BF4E15" w14:paraId="45339E04" w14:textId="77777777" w:rsidTr="009E1A3E">
        <w:tc>
          <w:tcPr>
            <w:tcW w:w="2091" w:type="dxa"/>
          </w:tcPr>
          <w:p w14:paraId="5840C492" w14:textId="77777777" w:rsidR="00BF4E15" w:rsidRPr="00BF4E15" w:rsidRDefault="00BF4E15" w:rsidP="00BF4E15">
            <w:pPr>
              <w:rPr>
                <w:rFonts w:cstheme="minorHAnsi"/>
                <w:color w:val="000000"/>
                <w:lang w:eastAsia="en-GB"/>
              </w:rPr>
            </w:pPr>
            <w:r w:rsidRPr="00BF4E15">
              <w:rPr>
                <w:rFonts w:cstheme="minorHAnsi"/>
                <w:color w:val="000000"/>
                <w:lang w:eastAsia="en-GB"/>
              </w:rPr>
              <w:t>% OST</w:t>
            </w:r>
          </w:p>
        </w:tc>
        <w:tc>
          <w:tcPr>
            <w:tcW w:w="2091" w:type="dxa"/>
          </w:tcPr>
          <w:p w14:paraId="47C2085B"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12%</w:t>
            </w:r>
          </w:p>
        </w:tc>
        <w:tc>
          <w:tcPr>
            <w:tcW w:w="2091" w:type="dxa"/>
          </w:tcPr>
          <w:p w14:paraId="79C761D3"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18%</w:t>
            </w:r>
          </w:p>
        </w:tc>
        <w:tc>
          <w:tcPr>
            <w:tcW w:w="2091" w:type="dxa"/>
          </w:tcPr>
          <w:p w14:paraId="7100C287"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22%</w:t>
            </w:r>
          </w:p>
        </w:tc>
      </w:tr>
      <w:tr w:rsidR="00BF4E15" w:rsidRPr="00BF4E15" w14:paraId="5C9348DD" w14:textId="77777777" w:rsidTr="009E1A3E">
        <w:tc>
          <w:tcPr>
            <w:tcW w:w="2091" w:type="dxa"/>
          </w:tcPr>
          <w:p w14:paraId="6841EBB9" w14:textId="77777777" w:rsidR="00BF4E15" w:rsidRPr="00BF4E15" w:rsidRDefault="00BF4E15" w:rsidP="00BF4E15">
            <w:pPr>
              <w:rPr>
                <w:rFonts w:cstheme="minorHAnsi"/>
                <w:color w:val="000000"/>
                <w:lang w:eastAsia="en-GB"/>
              </w:rPr>
            </w:pPr>
          </w:p>
        </w:tc>
        <w:tc>
          <w:tcPr>
            <w:tcW w:w="6273" w:type="dxa"/>
            <w:gridSpan w:val="3"/>
          </w:tcPr>
          <w:p w14:paraId="43FD041B" w14:textId="77777777" w:rsidR="00BF4E15" w:rsidRPr="00BF4E15" w:rsidRDefault="00BF4E15" w:rsidP="00BF4E15">
            <w:pPr>
              <w:jc w:val="center"/>
              <w:rPr>
                <w:rFonts w:cstheme="minorHAnsi"/>
                <w:b/>
                <w:bCs/>
                <w:color w:val="000000"/>
                <w:lang w:eastAsia="en-GB"/>
              </w:rPr>
            </w:pPr>
            <w:r w:rsidRPr="00BF4E15">
              <w:rPr>
                <w:rFonts w:cstheme="minorHAnsi"/>
                <w:b/>
                <w:bCs/>
                <w:color w:val="000000"/>
                <w:lang w:eastAsia="en-GB"/>
              </w:rPr>
              <w:t>Primary Care Only</w:t>
            </w:r>
          </w:p>
        </w:tc>
      </w:tr>
      <w:tr w:rsidR="00BF4E15" w:rsidRPr="00BF4E15" w14:paraId="02F550A5" w14:textId="77777777" w:rsidTr="009E1A3E">
        <w:tc>
          <w:tcPr>
            <w:tcW w:w="2091" w:type="dxa"/>
          </w:tcPr>
          <w:p w14:paraId="195F23F3" w14:textId="77777777" w:rsidR="00BF4E15" w:rsidRPr="00BF4E15" w:rsidRDefault="00BF4E15" w:rsidP="00BF4E15">
            <w:pPr>
              <w:rPr>
                <w:rFonts w:cstheme="minorHAnsi"/>
                <w:color w:val="000000"/>
                <w:lang w:eastAsia="en-GB"/>
              </w:rPr>
            </w:pPr>
            <w:r w:rsidRPr="00BF4E15">
              <w:rPr>
                <w:rFonts w:cstheme="minorHAnsi"/>
                <w:color w:val="000000"/>
                <w:lang w:eastAsia="en-GB"/>
              </w:rPr>
              <w:t xml:space="preserve">Number </w:t>
            </w:r>
          </w:p>
        </w:tc>
        <w:tc>
          <w:tcPr>
            <w:tcW w:w="2091" w:type="dxa"/>
          </w:tcPr>
          <w:p w14:paraId="71F2D6B3"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21</w:t>
            </w:r>
          </w:p>
        </w:tc>
        <w:tc>
          <w:tcPr>
            <w:tcW w:w="2091" w:type="dxa"/>
          </w:tcPr>
          <w:p w14:paraId="0C237E6D"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65</w:t>
            </w:r>
          </w:p>
        </w:tc>
        <w:tc>
          <w:tcPr>
            <w:tcW w:w="2091" w:type="dxa"/>
          </w:tcPr>
          <w:p w14:paraId="48B5D691"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122</w:t>
            </w:r>
          </w:p>
        </w:tc>
      </w:tr>
      <w:tr w:rsidR="00BF4E15" w:rsidRPr="00BF4E15" w14:paraId="093EBD0F" w14:textId="77777777" w:rsidTr="009E1A3E">
        <w:tc>
          <w:tcPr>
            <w:tcW w:w="2091" w:type="dxa"/>
          </w:tcPr>
          <w:p w14:paraId="182386DC" w14:textId="77777777" w:rsidR="00BF4E15" w:rsidRPr="00BF4E15" w:rsidRDefault="00BF4E15" w:rsidP="00BF4E15">
            <w:pPr>
              <w:rPr>
                <w:rFonts w:cstheme="minorHAnsi"/>
                <w:color w:val="000000"/>
                <w:lang w:eastAsia="en-GB"/>
              </w:rPr>
            </w:pPr>
            <w:r w:rsidRPr="00BF4E15">
              <w:rPr>
                <w:rFonts w:cstheme="minorHAnsi"/>
                <w:color w:val="000000"/>
                <w:lang w:eastAsia="en-GB"/>
              </w:rPr>
              <w:t>% OST</w:t>
            </w:r>
          </w:p>
        </w:tc>
        <w:tc>
          <w:tcPr>
            <w:tcW w:w="2091" w:type="dxa"/>
          </w:tcPr>
          <w:p w14:paraId="25F97341"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1%</w:t>
            </w:r>
          </w:p>
        </w:tc>
        <w:tc>
          <w:tcPr>
            <w:tcW w:w="2091" w:type="dxa"/>
          </w:tcPr>
          <w:p w14:paraId="6DC73A1C"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3%</w:t>
            </w:r>
          </w:p>
        </w:tc>
        <w:tc>
          <w:tcPr>
            <w:tcW w:w="2091" w:type="dxa"/>
          </w:tcPr>
          <w:p w14:paraId="0F0D388A" w14:textId="77777777" w:rsidR="00BF4E15" w:rsidRPr="00BF4E15" w:rsidRDefault="00BF4E15" w:rsidP="00BF4E15">
            <w:pPr>
              <w:jc w:val="center"/>
              <w:rPr>
                <w:rFonts w:cstheme="minorHAnsi"/>
                <w:color w:val="000000"/>
                <w:lang w:eastAsia="en-GB"/>
              </w:rPr>
            </w:pPr>
            <w:r w:rsidRPr="00BF4E15">
              <w:rPr>
                <w:rFonts w:cstheme="minorHAnsi"/>
                <w:color w:val="000000"/>
                <w:lang w:eastAsia="en-GB"/>
              </w:rPr>
              <w:t>7%</w:t>
            </w:r>
          </w:p>
        </w:tc>
      </w:tr>
    </w:tbl>
    <w:p w14:paraId="46E7A165" w14:textId="77777777" w:rsidR="00BF4E15" w:rsidRPr="00BF4E15" w:rsidRDefault="00BF4E15" w:rsidP="00BF4E15">
      <w:pPr>
        <w:spacing w:after="0" w:line="240" w:lineRule="auto"/>
        <w:rPr>
          <w:rFonts w:cstheme="minorHAnsi"/>
          <w:b/>
          <w:bCs/>
          <w:color w:val="000000"/>
          <w:lang w:eastAsia="en-GB"/>
        </w:rPr>
      </w:pPr>
    </w:p>
    <w:p w14:paraId="68B324F9" w14:textId="77777777" w:rsidR="00BF4E15" w:rsidRPr="00BF4E15" w:rsidRDefault="00BF4E15" w:rsidP="00BF4E15">
      <w:pPr>
        <w:spacing w:after="0" w:line="240" w:lineRule="auto"/>
        <w:rPr>
          <w:rFonts w:cstheme="minorHAnsi"/>
          <w:b/>
          <w:bCs/>
        </w:rPr>
      </w:pPr>
      <w:r w:rsidRPr="00BF4E15">
        <w:rPr>
          <w:rFonts w:cstheme="minorHAnsi"/>
          <w:b/>
          <w:bCs/>
        </w:rPr>
        <w:t>KPI: Number of people entering residential rehab</w:t>
      </w:r>
    </w:p>
    <w:tbl>
      <w:tblPr>
        <w:tblStyle w:val="TableGrid1"/>
        <w:tblW w:w="0" w:type="auto"/>
        <w:tblLook w:val="04A0" w:firstRow="1" w:lastRow="0" w:firstColumn="1" w:lastColumn="0" w:noHBand="0" w:noVBand="1"/>
      </w:tblPr>
      <w:tblGrid>
        <w:gridCol w:w="2015"/>
        <w:gridCol w:w="2142"/>
        <w:gridCol w:w="2142"/>
        <w:gridCol w:w="2142"/>
      </w:tblGrid>
      <w:tr w:rsidR="00BF4E15" w:rsidRPr="00BF4E15" w14:paraId="77066A3B" w14:textId="77777777" w:rsidTr="009E1A3E">
        <w:tc>
          <w:tcPr>
            <w:tcW w:w="2015" w:type="dxa"/>
          </w:tcPr>
          <w:p w14:paraId="3B9E4E08" w14:textId="77777777" w:rsidR="00BF4E15" w:rsidRPr="00BF4E15" w:rsidRDefault="00BF4E15" w:rsidP="00BF4E15">
            <w:pPr>
              <w:rPr>
                <w:rFonts w:cstheme="minorHAnsi"/>
                <w:b/>
                <w:bCs/>
              </w:rPr>
            </w:pPr>
          </w:p>
        </w:tc>
        <w:tc>
          <w:tcPr>
            <w:tcW w:w="2142" w:type="dxa"/>
          </w:tcPr>
          <w:p w14:paraId="4324601F" w14:textId="77777777" w:rsidR="00BF4E15" w:rsidRPr="00BF4E15" w:rsidRDefault="00BF4E15" w:rsidP="00BF4E15">
            <w:pPr>
              <w:rPr>
                <w:rFonts w:cstheme="minorHAnsi"/>
                <w:b/>
                <w:bCs/>
              </w:rPr>
            </w:pPr>
            <w:r w:rsidRPr="00BF4E15">
              <w:rPr>
                <w:rFonts w:cstheme="minorHAnsi"/>
                <w:b/>
                <w:bCs/>
              </w:rPr>
              <w:t>2021-22</w:t>
            </w:r>
          </w:p>
        </w:tc>
        <w:tc>
          <w:tcPr>
            <w:tcW w:w="2142" w:type="dxa"/>
          </w:tcPr>
          <w:p w14:paraId="65886F95" w14:textId="77777777" w:rsidR="00BF4E15" w:rsidRPr="00BF4E15" w:rsidRDefault="00BF4E15" w:rsidP="00BF4E15">
            <w:pPr>
              <w:rPr>
                <w:rFonts w:cstheme="minorHAnsi"/>
                <w:b/>
                <w:bCs/>
              </w:rPr>
            </w:pPr>
            <w:r w:rsidRPr="00BF4E15">
              <w:rPr>
                <w:rFonts w:cstheme="minorHAnsi"/>
                <w:b/>
                <w:bCs/>
              </w:rPr>
              <w:t>2022-23</w:t>
            </w:r>
          </w:p>
        </w:tc>
        <w:tc>
          <w:tcPr>
            <w:tcW w:w="2142" w:type="dxa"/>
          </w:tcPr>
          <w:p w14:paraId="3E2D9DAA" w14:textId="77777777" w:rsidR="00BF4E15" w:rsidRPr="00BF4E15" w:rsidRDefault="00BF4E15" w:rsidP="00BF4E15">
            <w:pPr>
              <w:rPr>
                <w:rFonts w:cstheme="minorHAnsi"/>
                <w:b/>
                <w:bCs/>
              </w:rPr>
            </w:pPr>
            <w:r w:rsidRPr="00BF4E15">
              <w:rPr>
                <w:rFonts w:cstheme="minorHAnsi"/>
                <w:b/>
                <w:bCs/>
              </w:rPr>
              <w:t>2023-24</w:t>
            </w:r>
          </w:p>
        </w:tc>
      </w:tr>
      <w:tr w:rsidR="00BF4E15" w:rsidRPr="00BF4E15" w14:paraId="7BF75B6F" w14:textId="77777777" w:rsidTr="009E1A3E">
        <w:tc>
          <w:tcPr>
            <w:tcW w:w="2015" w:type="dxa"/>
          </w:tcPr>
          <w:p w14:paraId="4C2653B7" w14:textId="77777777" w:rsidR="00BF4E15" w:rsidRPr="00BF4E15" w:rsidRDefault="00BF4E15" w:rsidP="00BF4E15">
            <w:pPr>
              <w:rPr>
                <w:rFonts w:cstheme="minorHAnsi"/>
                <w:b/>
                <w:bCs/>
              </w:rPr>
            </w:pPr>
            <w:r w:rsidRPr="00BF4E15">
              <w:rPr>
                <w:rFonts w:cstheme="minorHAnsi"/>
                <w:b/>
                <w:bCs/>
              </w:rPr>
              <w:t>Total no of placements</w:t>
            </w:r>
          </w:p>
        </w:tc>
        <w:tc>
          <w:tcPr>
            <w:tcW w:w="2142" w:type="dxa"/>
          </w:tcPr>
          <w:p w14:paraId="75667E1A" w14:textId="77777777" w:rsidR="00BF4E15" w:rsidRPr="00BF4E15" w:rsidRDefault="00BF4E15" w:rsidP="00BF4E15">
            <w:pPr>
              <w:jc w:val="center"/>
              <w:rPr>
                <w:rFonts w:cstheme="minorHAnsi"/>
              </w:rPr>
            </w:pPr>
            <w:r w:rsidRPr="00BF4E15">
              <w:rPr>
                <w:rFonts w:cstheme="minorHAnsi"/>
              </w:rPr>
              <w:t>57</w:t>
            </w:r>
          </w:p>
        </w:tc>
        <w:tc>
          <w:tcPr>
            <w:tcW w:w="2142" w:type="dxa"/>
          </w:tcPr>
          <w:p w14:paraId="7800977D" w14:textId="77777777" w:rsidR="00BF4E15" w:rsidRPr="00BF4E15" w:rsidRDefault="00BF4E15" w:rsidP="00BF4E15">
            <w:pPr>
              <w:jc w:val="center"/>
              <w:rPr>
                <w:rFonts w:cstheme="minorHAnsi"/>
              </w:rPr>
            </w:pPr>
            <w:r w:rsidRPr="00BF4E15">
              <w:rPr>
                <w:rFonts w:cstheme="minorHAnsi"/>
              </w:rPr>
              <w:t>47</w:t>
            </w:r>
          </w:p>
        </w:tc>
        <w:tc>
          <w:tcPr>
            <w:tcW w:w="2142" w:type="dxa"/>
          </w:tcPr>
          <w:p w14:paraId="49C093EA" w14:textId="77777777" w:rsidR="00BF4E15" w:rsidRPr="00BF4E15" w:rsidRDefault="00BF4E15" w:rsidP="00BF4E15">
            <w:pPr>
              <w:jc w:val="center"/>
              <w:rPr>
                <w:rFonts w:cstheme="minorHAnsi"/>
              </w:rPr>
            </w:pPr>
            <w:r w:rsidRPr="00BF4E15">
              <w:rPr>
                <w:rFonts w:cstheme="minorHAnsi"/>
              </w:rPr>
              <w:t>74</w:t>
            </w:r>
          </w:p>
        </w:tc>
      </w:tr>
      <w:tr w:rsidR="00BF4E15" w:rsidRPr="00BF4E15" w14:paraId="35A62B54" w14:textId="77777777" w:rsidTr="009E1A3E">
        <w:tc>
          <w:tcPr>
            <w:tcW w:w="2015" w:type="dxa"/>
          </w:tcPr>
          <w:p w14:paraId="5B7BB2F3" w14:textId="77777777" w:rsidR="00BF4E15" w:rsidRPr="00BF4E15" w:rsidRDefault="00BF4E15" w:rsidP="00BF4E15">
            <w:pPr>
              <w:rPr>
                <w:rFonts w:cstheme="minorHAnsi"/>
                <w:b/>
                <w:bCs/>
              </w:rPr>
            </w:pPr>
            <w:r w:rsidRPr="00BF4E15">
              <w:rPr>
                <w:rFonts w:cstheme="minorHAnsi"/>
                <w:b/>
                <w:bCs/>
              </w:rPr>
              <w:t>LEAP</w:t>
            </w:r>
          </w:p>
        </w:tc>
        <w:tc>
          <w:tcPr>
            <w:tcW w:w="2142" w:type="dxa"/>
          </w:tcPr>
          <w:p w14:paraId="338CF769" w14:textId="77777777" w:rsidR="00BF4E15" w:rsidRPr="00BF4E15" w:rsidRDefault="00BF4E15" w:rsidP="00BF4E15">
            <w:pPr>
              <w:jc w:val="center"/>
              <w:rPr>
                <w:rFonts w:cstheme="minorHAnsi"/>
                <w:i/>
                <w:iCs/>
              </w:rPr>
            </w:pPr>
            <w:r w:rsidRPr="00BF4E15">
              <w:rPr>
                <w:rFonts w:cstheme="minorHAnsi"/>
                <w:i/>
                <w:iCs/>
              </w:rPr>
              <w:t>47</w:t>
            </w:r>
          </w:p>
        </w:tc>
        <w:tc>
          <w:tcPr>
            <w:tcW w:w="2142" w:type="dxa"/>
          </w:tcPr>
          <w:p w14:paraId="41FC3689" w14:textId="77777777" w:rsidR="00BF4E15" w:rsidRPr="00BF4E15" w:rsidRDefault="00BF4E15" w:rsidP="00BF4E15">
            <w:pPr>
              <w:jc w:val="center"/>
              <w:rPr>
                <w:rFonts w:cstheme="minorHAnsi"/>
                <w:i/>
                <w:iCs/>
              </w:rPr>
            </w:pPr>
            <w:r w:rsidRPr="00BF4E15">
              <w:rPr>
                <w:rFonts w:cstheme="minorHAnsi"/>
                <w:i/>
                <w:iCs/>
              </w:rPr>
              <w:t>44</w:t>
            </w:r>
          </w:p>
        </w:tc>
        <w:tc>
          <w:tcPr>
            <w:tcW w:w="2142" w:type="dxa"/>
          </w:tcPr>
          <w:p w14:paraId="03C4F2E0" w14:textId="77777777" w:rsidR="00BF4E15" w:rsidRPr="00BF4E15" w:rsidRDefault="00BF4E15" w:rsidP="00BF4E15">
            <w:pPr>
              <w:jc w:val="center"/>
              <w:rPr>
                <w:rFonts w:cstheme="minorHAnsi"/>
                <w:i/>
                <w:iCs/>
              </w:rPr>
            </w:pPr>
            <w:r w:rsidRPr="00BF4E15">
              <w:rPr>
                <w:rFonts w:cstheme="minorHAnsi"/>
                <w:i/>
                <w:iCs/>
              </w:rPr>
              <w:t>67</w:t>
            </w:r>
          </w:p>
        </w:tc>
      </w:tr>
      <w:tr w:rsidR="00BF4E15" w:rsidRPr="00BF4E15" w14:paraId="7A032438" w14:textId="77777777" w:rsidTr="009E1A3E">
        <w:tc>
          <w:tcPr>
            <w:tcW w:w="2015" w:type="dxa"/>
          </w:tcPr>
          <w:p w14:paraId="42D918F2" w14:textId="77777777" w:rsidR="00BF4E15" w:rsidRPr="00BF4E15" w:rsidRDefault="00BF4E15" w:rsidP="00BF4E15">
            <w:pPr>
              <w:rPr>
                <w:rFonts w:cstheme="minorHAnsi"/>
                <w:b/>
                <w:bCs/>
              </w:rPr>
            </w:pPr>
            <w:r w:rsidRPr="00BF4E15">
              <w:rPr>
                <w:rFonts w:cstheme="minorHAnsi"/>
                <w:b/>
                <w:bCs/>
              </w:rPr>
              <w:t xml:space="preserve">Other </w:t>
            </w:r>
          </w:p>
        </w:tc>
        <w:tc>
          <w:tcPr>
            <w:tcW w:w="2142" w:type="dxa"/>
          </w:tcPr>
          <w:p w14:paraId="1D9ED72E" w14:textId="77777777" w:rsidR="00BF4E15" w:rsidRPr="00BF4E15" w:rsidRDefault="00BF4E15" w:rsidP="00BF4E15">
            <w:pPr>
              <w:jc w:val="center"/>
              <w:rPr>
                <w:rFonts w:cstheme="minorHAnsi"/>
                <w:i/>
                <w:iCs/>
              </w:rPr>
            </w:pPr>
            <w:r w:rsidRPr="00BF4E15">
              <w:rPr>
                <w:rFonts w:cstheme="minorHAnsi"/>
                <w:i/>
                <w:iCs/>
              </w:rPr>
              <w:t>10</w:t>
            </w:r>
          </w:p>
        </w:tc>
        <w:tc>
          <w:tcPr>
            <w:tcW w:w="2142" w:type="dxa"/>
          </w:tcPr>
          <w:p w14:paraId="71B1BC53" w14:textId="77777777" w:rsidR="00BF4E15" w:rsidRPr="00BF4E15" w:rsidRDefault="00BF4E15" w:rsidP="00BF4E15">
            <w:pPr>
              <w:jc w:val="center"/>
              <w:rPr>
                <w:rFonts w:cstheme="minorHAnsi"/>
                <w:i/>
                <w:iCs/>
              </w:rPr>
            </w:pPr>
            <w:r w:rsidRPr="00BF4E15">
              <w:rPr>
                <w:rFonts w:cstheme="minorHAnsi"/>
                <w:i/>
                <w:iCs/>
              </w:rPr>
              <w:t>3</w:t>
            </w:r>
          </w:p>
        </w:tc>
        <w:tc>
          <w:tcPr>
            <w:tcW w:w="2142" w:type="dxa"/>
          </w:tcPr>
          <w:p w14:paraId="4A92BA55" w14:textId="77777777" w:rsidR="00BF4E15" w:rsidRPr="00BF4E15" w:rsidRDefault="00BF4E15" w:rsidP="00BF4E15">
            <w:pPr>
              <w:jc w:val="center"/>
              <w:rPr>
                <w:rFonts w:cstheme="minorHAnsi"/>
                <w:i/>
                <w:iCs/>
              </w:rPr>
            </w:pPr>
            <w:r w:rsidRPr="00BF4E15">
              <w:rPr>
                <w:rFonts w:cstheme="minorHAnsi"/>
                <w:i/>
                <w:iCs/>
              </w:rPr>
              <w:t>7</w:t>
            </w:r>
          </w:p>
        </w:tc>
      </w:tr>
    </w:tbl>
    <w:p w14:paraId="1D100F57" w14:textId="77777777" w:rsidR="008C47DA" w:rsidRPr="008C47DA" w:rsidRDefault="008C47DA" w:rsidP="008C47DA">
      <w:pPr>
        <w:spacing w:after="0" w:line="240" w:lineRule="auto"/>
        <w:rPr>
          <w:rFonts w:cstheme="minorHAnsi"/>
        </w:rPr>
      </w:pPr>
      <w:r w:rsidRPr="008C47DA">
        <w:rPr>
          <w:rFonts w:cstheme="minorHAnsi"/>
        </w:rPr>
        <w:t xml:space="preserve">These show a rise in 2023-24 enabled by the expanded provision at LEAP and the securing of accommodation </w:t>
      </w:r>
    </w:p>
    <w:p w14:paraId="267B2C89" w14:textId="77777777" w:rsidR="008C47DA" w:rsidRPr="00BF4E15" w:rsidRDefault="008C47DA" w:rsidP="00BF4E15">
      <w:pPr>
        <w:spacing w:after="0" w:line="240" w:lineRule="auto"/>
        <w:rPr>
          <w:rFonts w:cstheme="minorHAnsi"/>
          <w:b/>
          <w:bCs/>
        </w:rPr>
      </w:pPr>
    </w:p>
    <w:p w14:paraId="18268C0E" w14:textId="77777777" w:rsidR="00BF4E15" w:rsidRPr="00BF4E15" w:rsidRDefault="00BF4E15" w:rsidP="00BF4E15">
      <w:pPr>
        <w:spacing w:after="0" w:line="240" w:lineRule="auto"/>
        <w:rPr>
          <w:rFonts w:cstheme="minorHAnsi"/>
          <w:b/>
          <w:bCs/>
        </w:rPr>
      </w:pPr>
      <w:r w:rsidRPr="00BF4E15">
        <w:rPr>
          <w:rFonts w:cstheme="minorHAnsi"/>
          <w:b/>
          <w:bCs/>
        </w:rPr>
        <w:t xml:space="preserve">KPI: Numbers of </w:t>
      </w:r>
      <w:proofErr w:type="gramStart"/>
      <w:r w:rsidRPr="00BF4E15">
        <w:rPr>
          <w:rFonts w:cstheme="minorHAnsi"/>
          <w:b/>
          <w:bCs/>
        </w:rPr>
        <w:t>high risk</w:t>
      </w:r>
      <w:proofErr w:type="gramEnd"/>
      <w:r w:rsidRPr="00BF4E15">
        <w:rPr>
          <w:rFonts w:cstheme="minorHAnsi"/>
          <w:b/>
          <w:bCs/>
        </w:rPr>
        <w:t xml:space="preserve"> individuals identified, % reached, % achieving successful outcome</w:t>
      </w:r>
    </w:p>
    <w:p w14:paraId="0424EE90" w14:textId="359B68C0" w:rsidR="00BF4E15" w:rsidRPr="00BF4E15" w:rsidRDefault="00BF4E15" w:rsidP="00BF4E15">
      <w:pPr>
        <w:spacing w:after="0" w:line="240" w:lineRule="auto"/>
        <w:rPr>
          <w:rFonts w:cstheme="minorHAnsi"/>
        </w:rPr>
      </w:pPr>
      <w:r w:rsidRPr="00BF4E15">
        <w:rPr>
          <w:rFonts w:cstheme="minorHAnsi"/>
        </w:rPr>
        <w:t xml:space="preserve">Q4 2023-34 is the first period for which this can be reported. </w:t>
      </w:r>
    </w:p>
    <w:p w14:paraId="17E0B95F" w14:textId="77777777" w:rsidR="00BF4E15" w:rsidRPr="00BF4E15" w:rsidRDefault="00BF4E15" w:rsidP="00BF4E15">
      <w:pPr>
        <w:spacing w:after="0" w:line="240" w:lineRule="auto"/>
        <w:rPr>
          <w:rFonts w:cstheme="minorHAnsi"/>
        </w:rPr>
      </w:pPr>
      <w:r w:rsidRPr="00BF4E15">
        <w:rPr>
          <w:rFonts w:cstheme="minorHAnsi"/>
        </w:rPr>
        <w:t>Contact was attempted for 75% of people identified as being at high risk within 2.25 days of services being notified (n=72 patients) – this means that approximately 1 new person every working day was identified as being at high risk and reached out to.</w:t>
      </w:r>
    </w:p>
    <w:p w14:paraId="233427B0" w14:textId="77777777" w:rsidR="00BF4E15" w:rsidRPr="00BF4E15" w:rsidRDefault="00BF4E15" w:rsidP="00BF4E15">
      <w:pPr>
        <w:spacing w:after="0" w:line="240" w:lineRule="auto"/>
        <w:rPr>
          <w:rFonts w:cstheme="minorHAnsi"/>
        </w:rPr>
      </w:pPr>
    </w:p>
    <w:p w14:paraId="22E34AEE" w14:textId="77777777" w:rsidR="00BF4E15" w:rsidRPr="00BF4E15" w:rsidRDefault="00BF4E15" w:rsidP="00BF4E15">
      <w:pPr>
        <w:spacing w:after="0" w:line="240" w:lineRule="auto"/>
        <w:rPr>
          <w:rFonts w:cstheme="minorHAnsi"/>
          <w:b/>
          <w:bCs/>
        </w:rPr>
      </w:pPr>
      <w:r w:rsidRPr="00BF4E15">
        <w:rPr>
          <w:rFonts w:cstheme="minorHAnsi"/>
          <w:b/>
          <w:bCs/>
        </w:rPr>
        <w:t>KPI: % of those entering community alcohol detox within 3 weeks of being assessed as suitable</w:t>
      </w:r>
    </w:p>
    <w:p w14:paraId="04BE4496" w14:textId="77777777" w:rsidR="00BF4E15" w:rsidRPr="00BF4E15" w:rsidRDefault="00BF4E15" w:rsidP="00BF4E15">
      <w:pPr>
        <w:spacing w:after="0" w:line="240" w:lineRule="auto"/>
        <w:rPr>
          <w:rFonts w:cstheme="minorHAnsi"/>
        </w:rPr>
      </w:pPr>
      <w:r w:rsidRPr="00BF4E15">
        <w:rPr>
          <w:rFonts w:cstheme="minorHAnsi"/>
        </w:rPr>
        <w:t>Unable to report as yet. Systems to routinely measure this are being developed</w:t>
      </w:r>
    </w:p>
    <w:p w14:paraId="1259E3D8" w14:textId="77777777" w:rsidR="00BF4E15" w:rsidRPr="00BF4E15" w:rsidRDefault="00BF4E15" w:rsidP="00BF4E15">
      <w:pPr>
        <w:spacing w:after="0" w:line="240" w:lineRule="auto"/>
        <w:rPr>
          <w:rFonts w:cstheme="minorHAnsi"/>
          <w:b/>
          <w:bCs/>
        </w:rPr>
      </w:pPr>
    </w:p>
    <w:p w14:paraId="1D869589" w14:textId="77777777" w:rsidR="00BF4E15" w:rsidRPr="00BF4E15" w:rsidRDefault="00BF4E15" w:rsidP="00BF4E15">
      <w:pPr>
        <w:spacing w:after="0" w:line="240" w:lineRule="auto"/>
        <w:rPr>
          <w:rFonts w:cstheme="minorHAnsi"/>
          <w:b/>
          <w:bCs/>
        </w:rPr>
      </w:pPr>
      <w:r w:rsidRPr="00BF4E15">
        <w:rPr>
          <w:rFonts w:cstheme="minorHAnsi"/>
          <w:b/>
          <w:bCs/>
        </w:rPr>
        <w:t>KPI: Number of Naloxone kits distributed</w:t>
      </w:r>
    </w:p>
    <w:tbl>
      <w:tblPr>
        <w:tblStyle w:val="TableGrid1"/>
        <w:tblW w:w="0" w:type="auto"/>
        <w:tblLook w:val="04A0" w:firstRow="1" w:lastRow="0" w:firstColumn="1" w:lastColumn="0" w:noHBand="0" w:noVBand="1"/>
      </w:tblPr>
      <w:tblGrid>
        <w:gridCol w:w="1756"/>
        <w:gridCol w:w="1817"/>
        <w:gridCol w:w="1821"/>
        <w:gridCol w:w="1730"/>
        <w:gridCol w:w="1892"/>
      </w:tblGrid>
      <w:tr w:rsidR="00BF4E15" w:rsidRPr="00BF4E15" w14:paraId="209321FB" w14:textId="77777777" w:rsidTr="009E1A3E">
        <w:tc>
          <w:tcPr>
            <w:tcW w:w="2119" w:type="dxa"/>
          </w:tcPr>
          <w:p w14:paraId="4F2367DC" w14:textId="77777777" w:rsidR="00BF4E15" w:rsidRPr="00BF4E15" w:rsidRDefault="00BF4E15" w:rsidP="00BF4E15">
            <w:pPr>
              <w:rPr>
                <w:rFonts w:cstheme="minorHAnsi"/>
              </w:rPr>
            </w:pPr>
          </w:p>
        </w:tc>
        <w:tc>
          <w:tcPr>
            <w:tcW w:w="2142" w:type="dxa"/>
          </w:tcPr>
          <w:p w14:paraId="1C543A84" w14:textId="77777777" w:rsidR="00BF4E15" w:rsidRPr="00BF4E15" w:rsidRDefault="00BF4E15" w:rsidP="00BF4E15">
            <w:pPr>
              <w:rPr>
                <w:rFonts w:cstheme="minorHAnsi"/>
              </w:rPr>
            </w:pPr>
            <w:r w:rsidRPr="00BF4E15">
              <w:rPr>
                <w:rFonts w:cstheme="minorHAnsi"/>
              </w:rPr>
              <w:t>2020 - 2021</w:t>
            </w:r>
          </w:p>
        </w:tc>
        <w:tc>
          <w:tcPr>
            <w:tcW w:w="2143" w:type="dxa"/>
          </w:tcPr>
          <w:p w14:paraId="66559A64" w14:textId="77777777" w:rsidR="00BF4E15" w:rsidRPr="00BF4E15" w:rsidRDefault="00BF4E15" w:rsidP="00BF4E15">
            <w:pPr>
              <w:rPr>
                <w:rFonts w:cstheme="minorHAnsi"/>
              </w:rPr>
            </w:pPr>
            <w:r w:rsidRPr="00BF4E15">
              <w:rPr>
                <w:rFonts w:cstheme="minorHAnsi"/>
              </w:rPr>
              <w:t>2021-22</w:t>
            </w:r>
          </w:p>
        </w:tc>
        <w:tc>
          <w:tcPr>
            <w:tcW w:w="2026" w:type="dxa"/>
          </w:tcPr>
          <w:p w14:paraId="7D10D042" w14:textId="77777777" w:rsidR="00BF4E15" w:rsidRPr="00BF4E15" w:rsidRDefault="00BF4E15" w:rsidP="00BF4E15">
            <w:pPr>
              <w:rPr>
                <w:rFonts w:cstheme="minorHAnsi"/>
              </w:rPr>
            </w:pPr>
            <w:r w:rsidRPr="00BF4E15">
              <w:rPr>
                <w:rFonts w:cstheme="minorHAnsi"/>
              </w:rPr>
              <w:t>2022-23</w:t>
            </w:r>
          </w:p>
        </w:tc>
        <w:tc>
          <w:tcPr>
            <w:tcW w:w="2026" w:type="dxa"/>
          </w:tcPr>
          <w:p w14:paraId="09125D54" w14:textId="77777777" w:rsidR="00BF4E15" w:rsidRPr="00BF4E15" w:rsidRDefault="00BF4E15" w:rsidP="00BF4E15">
            <w:pPr>
              <w:rPr>
                <w:rFonts w:cstheme="minorHAnsi"/>
              </w:rPr>
            </w:pPr>
            <w:r w:rsidRPr="00BF4E15">
              <w:rPr>
                <w:rFonts w:cstheme="minorHAnsi"/>
              </w:rPr>
              <w:t>2023-24</w:t>
            </w:r>
          </w:p>
        </w:tc>
      </w:tr>
      <w:tr w:rsidR="00BF4E15" w:rsidRPr="00BF4E15" w14:paraId="25E28A2B" w14:textId="77777777" w:rsidTr="009E1A3E">
        <w:tc>
          <w:tcPr>
            <w:tcW w:w="2119" w:type="dxa"/>
          </w:tcPr>
          <w:p w14:paraId="478B5214" w14:textId="77777777" w:rsidR="00BF4E15" w:rsidRPr="00BF4E15" w:rsidRDefault="00BF4E15" w:rsidP="00BF4E15">
            <w:pPr>
              <w:rPr>
                <w:rFonts w:cstheme="minorHAnsi"/>
              </w:rPr>
            </w:pPr>
            <w:r w:rsidRPr="00BF4E15">
              <w:rPr>
                <w:rFonts w:cstheme="minorHAnsi"/>
              </w:rPr>
              <w:t xml:space="preserve">No of kits </w:t>
            </w:r>
          </w:p>
        </w:tc>
        <w:tc>
          <w:tcPr>
            <w:tcW w:w="2142" w:type="dxa"/>
          </w:tcPr>
          <w:p w14:paraId="46D8B670" w14:textId="77777777" w:rsidR="00BF4E15" w:rsidRPr="00BF4E15" w:rsidRDefault="00BF4E15" w:rsidP="00BF4E15">
            <w:pPr>
              <w:rPr>
                <w:rFonts w:cstheme="minorHAnsi"/>
              </w:rPr>
            </w:pPr>
            <w:r w:rsidRPr="00BF4E15">
              <w:rPr>
                <w:rFonts w:cstheme="minorHAnsi"/>
              </w:rPr>
              <w:t>1,647</w:t>
            </w:r>
          </w:p>
        </w:tc>
        <w:tc>
          <w:tcPr>
            <w:tcW w:w="2143" w:type="dxa"/>
          </w:tcPr>
          <w:p w14:paraId="02DBB31E" w14:textId="77777777" w:rsidR="00BF4E15" w:rsidRPr="00BF4E15" w:rsidRDefault="00BF4E15" w:rsidP="00BF4E15">
            <w:pPr>
              <w:rPr>
                <w:rFonts w:cstheme="minorHAnsi"/>
              </w:rPr>
            </w:pPr>
            <w:r w:rsidRPr="00BF4E15">
              <w:rPr>
                <w:rFonts w:cstheme="minorHAnsi"/>
              </w:rPr>
              <w:t>2,468</w:t>
            </w:r>
          </w:p>
        </w:tc>
        <w:tc>
          <w:tcPr>
            <w:tcW w:w="2026" w:type="dxa"/>
          </w:tcPr>
          <w:p w14:paraId="417343DD" w14:textId="77777777" w:rsidR="00BF4E15" w:rsidRPr="00BF4E15" w:rsidRDefault="00BF4E15" w:rsidP="00BF4E15">
            <w:pPr>
              <w:rPr>
                <w:rFonts w:cstheme="minorHAnsi"/>
              </w:rPr>
            </w:pPr>
            <w:r w:rsidRPr="00BF4E15">
              <w:rPr>
                <w:rFonts w:cstheme="minorHAnsi"/>
              </w:rPr>
              <w:t>2,172</w:t>
            </w:r>
          </w:p>
        </w:tc>
        <w:tc>
          <w:tcPr>
            <w:tcW w:w="2026" w:type="dxa"/>
          </w:tcPr>
          <w:p w14:paraId="7DFF5771" w14:textId="77777777" w:rsidR="00BF4E15" w:rsidRPr="00BF4E15" w:rsidRDefault="00BF4E15" w:rsidP="00BF4E15">
            <w:pPr>
              <w:rPr>
                <w:rFonts w:cstheme="minorHAnsi"/>
              </w:rPr>
            </w:pPr>
            <w:r w:rsidRPr="00BF4E15">
              <w:rPr>
                <w:rFonts w:cstheme="minorHAnsi"/>
              </w:rPr>
              <w:t>1,503</w:t>
            </w:r>
          </w:p>
          <w:p w14:paraId="47CA78F2" w14:textId="77777777" w:rsidR="00BF4E15" w:rsidRPr="00BF4E15" w:rsidRDefault="00BF4E15" w:rsidP="00BF4E15">
            <w:pPr>
              <w:rPr>
                <w:rFonts w:cstheme="minorHAnsi"/>
                <w:i/>
                <w:iCs/>
              </w:rPr>
            </w:pPr>
            <w:r w:rsidRPr="00BF4E15">
              <w:rPr>
                <w:rFonts w:cstheme="minorHAnsi"/>
                <w:i/>
                <w:iCs/>
              </w:rPr>
              <w:t>Intranasal- 544</w:t>
            </w:r>
          </w:p>
          <w:p w14:paraId="3D8EAF29" w14:textId="77777777" w:rsidR="00BF4E15" w:rsidRPr="00BF4E15" w:rsidRDefault="00BF4E15" w:rsidP="00BF4E15">
            <w:pPr>
              <w:rPr>
                <w:rFonts w:cstheme="minorHAnsi"/>
              </w:rPr>
            </w:pPr>
            <w:r w:rsidRPr="00BF4E15">
              <w:rPr>
                <w:rFonts w:cstheme="minorHAnsi"/>
                <w:i/>
                <w:iCs/>
              </w:rPr>
              <w:t>Intramusular- 959</w:t>
            </w:r>
          </w:p>
        </w:tc>
      </w:tr>
    </w:tbl>
    <w:p w14:paraId="7EDB5807" w14:textId="77777777" w:rsidR="00BF4E15" w:rsidRPr="00BF4E15" w:rsidRDefault="00BF4E15" w:rsidP="00BF4E15">
      <w:pPr>
        <w:spacing w:after="0" w:line="240" w:lineRule="auto"/>
        <w:rPr>
          <w:rFonts w:cstheme="minorHAnsi"/>
        </w:rPr>
      </w:pPr>
    </w:p>
    <w:p w14:paraId="4EFAF4EA" w14:textId="37EE1F1C" w:rsidR="00BF4E15" w:rsidRPr="00BF4E15" w:rsidRDefault="00BF4E15" w:rsidP="00BF4E15">
      <w:pPr>
        <w:spacing w:after="0" w:line="240" w:lineRule="auto"/>
        <w:rPr>
          <w:rFonts w:cstheme="minorHAnsi"/>
        </w:rPr>
      </w:pPr>
      <w:r w:rsidRPr="00BF4E15">
        <w:rPr>
          <w:rFonts w:cstheme="minorHAnsi"/>
        </w:rPr>
        <w:t>The naloxone programme continues to distribute at high levels. Provision of THN through these routes has reached a proportion of those who need it and this seems to be reducing the number of new kits being distributed in a sample of injecting drug users in Lothian in 2019-20, 70% had been prescribed take-home naloxone in the past year (c.f. 67% in all of Scotland) and 39% were carrying it (</w:t>
      </w:r>
      <w:r w:rsidR="008C47DA">
        <w:rPr>
          <w:rFonts w:cstheme="minorHAnsi"/>
        </w:rPr>
        <w:t>c.</w:t>
      </w:r>
      <w:r w:rsidRPr="00BF4E15">
        <w:rPr>
          <w:rFonts w:cstheme="minorHAnsi"/>
        </w:rPr>
        <w:t>f</w:t>
      </w:r>
      <w:r w:rsidR="008C47DA">
        <w:rPr>
          <w:rFonts w:cstheme="minorHAnsi"/>
        </w:rPr>
        <w:t>.</w:t>
      </w:r>
      <w:r w:rsidRPr="00BF4E15">
        <w:rPr>
          <w:rFonts w:cstheme="minorHAnsi"/>
        </w:rPr>
        <w:t xml:space="preserve"> 21% in all of Scotland). </w:t>
      </w:r>
      <w:hyperlink r:id="rId28" w:tooltip="https://publichealthscotland.scot/publications/needle-exchange-surveillance-initiative-nesi/needle-exchange-surveillance-initiative-nesi/" w:history="1">
        <w:r w:rsidRPr="00BF4E15">
          <w:rPr>
            <w:rFonts w:cstheme="minorHAnsi"/>
            <w:color w:val="0563C1" w:themeColor="hyperlink"/>
            <w:u w:val="single"/>
          </w:rPr>
          <w:t>Needle Exchange Surveillance Initiative (NESI) - Needle Exchange Surveillance Initiative (NESI) - Publications - Public Health Scotland</w:t>
        </w:r>
      </w:hyperlink>
      <w:r w:rsidRPr="00BF4E15">
        <w:rPr>
          <w:rFonts w:cstheme="minorHAnsi"/>
        </w:rPr>
        <w:t xml:space="preserve"> Provision has expanded since then. </w:t>
      </w:r>
    </w:p>
    <w:p w14:paraId="3D4FEC98" w14:textId="6422A435" w:rsidR="00BF4E15" w:rsidRPr="00BF4E15" w:rsidRDefault="00BF4E15" w:rsidP="00BF4E15">
      <w:pPr>
        <w:spacing w:after="0" w:line="240" w:lineRule="auto"/>
        <w:rPr>
          <w:rFonts w:cstheme="minorHAnsi"/>
        </w:rPr>
      </w:pPr>
      <w:r w:rsidRPr="00BF4E15">
        <w:rPr>
          <w:rFonts w:cstheme="minorHAnsi"/>
        </w:rPr>
        <w:lastRenderedPageBreak/>
        <w:t xml:space="preserve">In 2023-24 at least 282 kits were distributed to replace kits used in OD (i.e. at least this many kits were used to reverse an overdose). Approximately 1/3 of kits are now intranasal which is more acceptable to </w:t>
      </w:r>
      <w:proofErr w:type="gramStart"/>
      <w:r w:rsidRPr="00BF4E15">
        <w:rPr>
          <w:rFonts w:cstheme="minorHAnsi"/>
        </w:rPr>
        <w:t>a number of</w:t>
      </w:r>
      <w:proofErr w:type="gramEnd"/>
      <w:r w:rsidRPr="00BF4E15">
        <w:rPr>
          <w:rFonts w:cstheme="minorHAnsi"/>
        </w:rPr>
        <w:t xml:space="preserve"> potential users</w:t>
      </w:r>
    </w:p>
    <w:p w14:paraId="3E346227" w14:textId="77777777" w:rsidR="00BF4E15" w:rsidRPr="00BF4E15" w:rsidRDefault="00BF4E15" w:rsidP="00BF4E15">
      <w:pPr>
        <w:spacing w:after="0" w:line="240" w:lineRule="auto"/>
        <w:rPr>
          <w:rFonts w:cstheme="minorHAnsi"/>
        </w:rPr>
      </w:pPr>
    </w:p>
    <w:p w14:paraId="7AA65153" w14:textId="77777777" w:rsidR="00BF4E15" w:rsidRPr="00BF4E15" w:rsidRDefault="00BF4E15" w:rsidP="00BF4E15">
      <w:pPr>
        <w:spacing w:after="0" w:line="240" w:lineRule="auto"/>
        <w:rPr>
          <w:rFonts w:cstheme="minorHAnsi"/>
          <w:b/>
          <w:bCs/>
        </w:rPr>
      </w:pPr>
      <w:r w:rsidRPr="00BF4E15">
        <w:rPr>
          <w:rFonts w:cstheme="minorHAnsi"/>
          <w:b/>
          <w:bCs/>
        </w:rPr>
        <w:t>KPI: Suspected Drug related deaths</w:t>
      </w:r>
    </w:p>
    <w:p w14:paraId="598AD137" w14:textId="77777777" w:rsidR="00BF4E15" w:rsidRPr="00BF4E15" w:rsidRDefault="00BF4E15" w:rsidP="00BF4E15">
      <w:pPr>
        <w:spacing w:after="0" w:line="240" w:lineRule="auto"/>
        <w:rPr>
          <w:rFonts w:cstheme="minorHAnsi"/>
          <w:b/>
          <w:bCs/>
        </w:rPr>
      </w:pPr>
    </w:p>
    <w:tbl>
      <w:tblPr>
        <w:tblW w:w="10325" w:type="dxa"/>
        <w:tblLayout w:type="fixed"/>
        <w:tblLook w:val="04A0" w:firstRow="1" w:lastRow="0" w:firstColumn="1" w:lastColumn="0" w:noHBand="0" w:noVBand="1"/>
      </w:tblPr>
      <w:tblGrid>
        <w:gridCol w:w="1475"/>
        <w:gridCol w:w="1475"/>
        <w:gridCol w:w="1475"/>
        <w:gridCol w:w="1475"/>
        <w:gridCol w:w="1475"/>
        <w:gridCol w:w="1475"/>
        <w:gridCol w:w="1475"/>
      </w:tblGrid>
      <w:tr w:rsidR="00BF4E15" w:rsidRPr="00BF4E15" w14:paraId="0F3B6B31" w14:textId="77777777" w:rsidTr="009E1A3E">
        <w:trPr>
          <w:trHeight w:val="148"/>
        </w:trPr>
        <w:tc>
          <w:tcPr>
            <w:tcW w:w="1475" w:type="dxa"/>
            <w:tcBorders>
              <w:top w:val="single" w:sz="4" w:space="0" w:color="auto"/>
              <w:left w:val="single" w:sz="4" w:space="0" w:color="auto"/>
              <w:bottom w:val="single" w:sz="4" w:space="0" w:color="auto"/>
              <w:right w:val="single" w:sz="4" w:space="0" w:color="auto"/>
            </w:tcBorders>
            <w:hideMark/>
          </w:tcPr>
          <w:p w14:paraId="3D8912C2" w14:textId="77777777" w:rsidR="00BF4E15" w:rsidRPr="00BF4E15" w:rsidRDefault="00BF4E15" w:rsidP="00BF4E15">
            <w:pPr>
              <w:spacing w:after="0" w:line="240" w:lineRule="auto"/>
              <w:rPr>
                <w:rFonts w:cstheme="minorHAnsi"/>
              </w:rPr>
            </w:pPr>
          </w:p>
        </w:tc>
        <w:tc>
          <w:tcPr>
            <w:tcW w:w="1475" w:type="dxa"/>
            <w:tcBorders>
              <w:top w:val="single" w:sz="4" w:space="0" w:color="auto"/>
              <w:left w:val="single" w:sz="4" w:space="0" w:color="auto"/>
              <w:bottom w:val="single" w:sz="4" w:space="0" w:color="auto"/>
              <w:right w:val="single" w:sz="4" w:space="0" w:color="auto"/>
            </w:tcBorders>
          </w:tcPr>
          <w:p w14:paraId="4EA165E8" w14:textId="77777777" w:rsidR="00BF4E15" w:rsidRPr="00BF4E15" w:rsidRDefault="00BF4E15" w:rsidP="00BF4E15">
            <w:pPr>
              <w:spacing w:after="0" w:line="240" w:lineRule="auto"/>
              <w:jc w:val="center"/>
              <w:rPr>
                <w:rFonts w:cstheme="minorHAnsi"/>
                <w:b/>
                <w:bCs/>
              </w:rPr>
            </w:pPr>
            <w:r w:rsidRPr="00BF4E15">
              <w:rPr>
                <w:rFonts w:cstheme="minorHAnsi"/>
                <w:b/>
                <w:bCs/>
              </w:rPr>
              <w:t>2018</w:t>
            </w:r>
          </w:p>
        </w:tc>
        <w:tc>
          <w:tcPr>
            <w:tcW w:w="1475" w:type="dxa"/>
            <w:tcBorders>
              <w:top w:val="single" w:sz="4" w:space="0" w:color="auto"/>
              <w:left w:val="single" w:sz="4" w:space="0" w:color="auto"/>
              <w:bottom w:val="single" w:sz="4" w:space="0" w:color="auto"/>
              <w:right w:val="single" w:sz="4" w:space="0" w:color="auto"/>
            </w:tcBorders>
            <w:hideMark/>
          </w:tcPr>
          <w:p w14:paraId="20CF4F6C" w14:textId="77777777" w:rsidR="00BF4E15" w:rsidRPr="00BF4E15" w:rsidRDefault="00BF4E15" w:rsidP="00BF4E15">
            <w:pPr>
              <w:spacing w:after="0" w:line="240" w:lineRule="auto"/>
              <w:jc w:val="center"/>
              <w:rPr>
                <w:rFonts w:cstheme="minorHAnsi"/>
                <w:b/>
                <w:bCs/>
              </w:rPr>
            </w:pPr>
            <w:r w:rsidRPr="00BF4E15">
              <w:rPr>
                <w:rFonts w:cstheme="minorHAnsi"/>
                <w:b/>
                <w:bCs/>
              </w:rPr>
              <w:t>2019</w:t>
            </w:r>
          </w:p>
        </w:tc>
        <w:tc>
          <w:tcPr>
            <w:tcW w:w="1475" w:type="dxa"/>
            <w:tcBorders>
              <w:top w:val="single" w:sz="4" w:space="0" w:color="auto"/>
              <w:left w:val="single" w:sz="4" w:space="0" w:color="auto"/>
              <w:bottom w:val="single" w:sz="4" w:space="0" w:color="auto"/>
              <w:right w:val="single" w:sz="4" w:space="0" w:color="auto"/>
            </w:tcBorders>
            <w:hideMark/>
          </w:tcPr>
          <w:p w14:paraId="4C26A96A" w14:textId="77777777" w:rsidR="00BF4E15" w:rsidRPr="00BF4E15" w:rsidRDefault="00BF4E15" w:rsidP="00BF4E15">
            <w:pPr>
              <w:spacing w:after="0" w:line="240" w:lineRule="auto"/>
              <w:jc w:val="center"/>
              <w:rPr>
                <w:rFonts w:cstheme="minorHAnsi"/>
                <w:b/>
                <w:bCs/>
              </w:rPr>
            </w:pPr>
            <w:r w:rsidRPr="00BF4E15">
              <w:rPr>
                <w:rFonts w:cstheme="minorHAnsi"/>
                <w:b/>
                <w:bCs/>
              </w:rPr>
              <w:t>2020</w:t>
            </w:r>
          </w:p>
        </w:tc>
        <w:tc>
          <w:tcPr>
            <w:tcW w:w="1475" w:type="dxa"/>
            <w:tcBorders>
              <w:top w:val="single" w:sz="4" w:space="0" w:color="auto"/>
              <w:left w:val="single" w:sz="4" w:space="0" w:color="auto"/>
              <w:bottom w:val="single" w:sz="4" w:space="0" w:color="auto"/>
              <w:right w:val="single" w:sz="4" w:space="0" w:color="auto"/>
            </w:tcBorders>
            <w:hideMark/>
          </w:tcPr>
          <w:p w14:paraId="023E36C8" w14:textId="77777777" w:rsidR="00BF4E15" w:rsidRPr="00BF4E15" w:rsidRDefault="00BF4E15" w:rsidP="00BF4E15">
            <w:pPr>
              <w:spacing w:after="0" w:line="240" w:lineRule="auto"/>
              <w:jc w:val="center"/>
              <w:rPr>
                <w:rFonts w:cstheme="minorHAnsi"/>
                <w:b/>
                <w:bCs/>
              </w:rPr>
            </w:pPr>
            <w:r w:rsidRPr="00BF4E15">
              <w:rPr>
                <w:rFonts w:cstheme="minorHAnsi"/>
                <w:b/>
                <w:bCs/>
              </w:rPr>
              <w:t>2021</w:t>
            </w:r>
          </w:p>
        </w:tc>
        <w:tc>
          <w:tcPr>
            <w:tcW w:w="1475" w:type="dxa"/>
            <w:tcBorders>
              <w:top w:val="single" w:sz="4" w:space="0" w:color="auto"/>
              <w:left w:val="single" w:sz="4" w:space="0" w:color="auto"/>
              <w:bottom w:val="single" w:sz="4" w:space="0" w:color="auto"/>
              <w:right w:val="single" w:sz="4" w:space="0" w:color="auto"/>
            </w:tcBorders>
            <w:hideMark/>
          </w:tcPr>
          <w:p w14:paraId="27C84005" w14:textId="77777777" w:rsidR="00BF4E15" w:rsidRPr="00BF4E15" w:rsidRDefault="00BF4E15" w:rsidP="00BF4E15">
            <w:pPr>
              <w:spacing w:after="0" w:line="240" w:lineRule="auto"/>
              <w:jc w:val="center"/>
              <w:rPr>
                <w:rFonts w:cstheme="minorHAnsi"/>
                <w:b/>
                <w:bCs/>
              </w:rPr>
            </w:pPr>
            <w:r w:rsidRPr="00BF4E15">
              <w:rPr>
                <w:rFonts w:cstheme="minorHAnsi"/>
                <w:b/>
                <w:bCs/>
              </w:rPr>
              <w:t>2022</w:t>
            </w:r>
          </w:p>
        </w:tc>
        <w:tc>
          <w:tcPr>
            <w:tcW w:w="1475" w:type="dxa"/>
            <w:tcBorders>
              <w:top w:val="single" w:sz="4" w:space="0" w:color="auto"/>
              <w:left w:val="single" w:sz="4" w:space="0" w:color="auto"/>
              <w:bottom w:val="single" w:sz="4" w:space="0" w:color="auto"/>
              <w:right w:val="single" w:sz="4" w:space="0" w:color="auto"/>
            </w:tcBorders>
            <w:hideMark/>
          </w:tcPr>
          <w:p w14:paraId="484CBD7C" w14:textId="77777777" w:rsidR="00BF4E15" w:rsidRPr="00BF4E15" w:rsidRDefault="00BF4E15" w:rsidP="00BF4E15">
            <w:pPr>
              <w:spacing w:after="0" w:line="240" w:lineRule="auto"/>
              <w:jc w:val="center"/>
              <w:rPr>
                <w:rFonts w:cstheme="minorHAnsi"/>
                <w:b/>
                <w:bCs/>
              </w:rPr>
            </w:pPr>
            <w:r w:rsidRPr="00BF4E15">
              <w:rPr>
                <w:rFonts w:cstheme="minorHAnsi"/>
                <w:b/>
                <w:bCs/>
              </w:rPr>
              <w:t>2023</w:t>
            </w:r>
          </w:p>
          <w:p w14:paraId="430E1B55" w14:textId="77777777" w:rsidR="00BF4E15" w:rsidRPr="00BF4E15" w:rsidRDefault="00BF4E15" w:rsidP="00BF4E15">
            <w:pPr>
              <w:spacing w:after="0" w:line="240" w:lineRule="auto"/>
              <w:jc w:val="center"/>
              <w:rPr>
                <w:rFonts w:cstheme="minorHAnsi"/>
                <w:b/>
                <w:bCs/>
              </w:rPr>
            </w:pPr>
          </w:p>
        </w:tc>
      </w:tr>
      <w:tr w:rsidR="00BF4E15" w:rsidRPr="00BF4E15" w14:paraId="4F196A58" w14:textId="77777777" w:rsidTr="009E1A3E">
        <w:trPr>
          <w:trHeight w:val="148"/>
        </w:trPr>
        <w:tc>
          <w:tcPr>
            <w:tcW w:w="1475" w:type="dxa"/>
            <w:tcBorders>
              <w:top w:val="single" w:sz="4" w:space="0" w:color="auto"/>
              <w:left w:val="single" w:sz="4" w:space="0" w:color="auto"/>
              <w:bottom w:val="single" w:sz="4" w:space="0" w:color="auto"/>
              <w:right w:val="single" w:sz="4" w:space="0" w:color="auto"/>
            </w:tcBorders>
          </w:tcPr>
          <w:p w14:paraId="758BEC12" w14:textId="77777777" w:rsidR="00BF4E15" w:rsidRPr="00BF4E15" w:rsidRDefault="00BF4E15" w:rsidP="00BF4E15">
            <w:pPr>
              <w:spacing w:after="0" w:line="240" w:lineRule="auto"/>
              <w:rPr>
                <w:rFonts w:cstheme="minorHAnsi"/>
              </w:rPr>
            </w:pPr>
            <w:r w:rsidRPr="00BF4E15">
              <w:rPr>
                <w:rFonts w:cstheme="minorHAnsi"/>
              </w:rPr>
              <w:t xml:space="preserve">Total </w:t>
            </w:r>
          </w:p>
        </w:tc>
        <w:tc>
          <w:tcPr>
            <w:tcW w:w="1475" w:type="dxa"/>
            <w:tcBorders>
              <w:top w:val="single" w:sz="4" w:space="0" w:color="auto"/>
              <w:left w:val="single" w:sz="4" w:space="0" w:color="auto"/>
              <w:bottom w:val="single" w:sz="4" w:space="0" w:color="auto"/>
              <w:right w:val="single" w:sz="4" w:space="0" w:color="auto"/>
            </w:tcBorders>
          </w:tcPr>
          <w:p w14:paraId="13EC745D" w14:textId="77777777" w:rsidR="00BF4E15" w:rsidRPr="00BF4E15" w:rsidRDefault="00BF4E15" w:rsidP="00BF4E15">
            <w:pPr>
              <w:spacing w:after="0" w:line="240" w:lineRule="auto"/>
              <w:jc w:val="center"/>
              <w:rPr>
                <w:rFonts w:cstheme="minorHAnsi"/>
              </w:rPr>
            </w:pPr>
            <w:r w:rsidRPr="00BF4E15">
              <w:rPr>
                <w:rFonts w:cstheme="minorHAnsi"/>
              </w:rPr>
              <w:t>146</w:t>
            </w:r>
          </w:p>
        </w:tc>
        <w:tc>
          <w:tcPr>
            <w:tcW w:w="1475" w:type="dxa"/>
            <w:tcBorders>
              <w:top w:val="single" w:sz="4" w:space="0" w:color="auto"/>
              <w:left w:val="single" w:sz="4" w:space="0" w:color="auto"/>
              <w:bottom w:val="single" w:sz="4" w:space="0" w:color="auto"/>
              <w:right w:val="single" w:sz="4" w:space="0" w:color="auto"/>
            </w:tcBorders>
          </w:tcPr>
          <w:p w14:paraId="7138D725" w14:textId="77777777" w:rsidR="00BF4E15" w:rsidRPr="00BF4E15" w:rsidRDefault="00BF4E15" w:rsidP="00BF4E15">
            <w:pPr>
              <w:spacing w:after="0" w:line="240" w:lineRule="auto"/>
              <w:jc w:val="center"/>
              <w:rPr>
                <w:rFonts w:cstheme="minorHAnsi"/>
              </w:rPr>
            </w:pPr>
            <w:r w:rsidRPr="00BF4E15">
              <w:rPr>
                <w:rFonts w:cstheme="minorHAnsi"/>
              </w:rPr>
              <w:t>154</w:t>
            </w:r>
          </w:p>
        </w:tc>
        <w:tc>
          <w:tcPr>
            <w:tcW w:w="1475" w:type="dxa"/>
            <w:tcBorders>
              <w:top w:val="single" w:sz="4" w:space="0" w:color="auto"/>
              <w:left w:val="single" w:sz="4" w:space="0" w:color="auto"/>
              <w:bottom w:val="single" w:sz="4" w:space="0" w:color="auto"/>
              <w:right w:val="single" w:sz="4" w:space="0" w:color="auto"/>
            </w:tcBorders>
          </w:tcPr>
          <w:p w14:paraId="2CA28B99" w14:textId="77777777" w:rsidR="00BF4E15" w:rsidRPr="00BF4E15" w:rsidRDefault="00BF4E15" w:rsidP="00BF4E15">
            <w:pPr>
              <w:spacing w:after="0" w:line="240" w:lineRule="auto"/>
              <w:jc w:val="center"/>
              <w:rPr>
                <w:rFonts w:cstheme="minorHAnsi"/>
              </w:rPr>
            </w:pPr>
            <w:r w:rsidRPr="00BF4E15">
              <w:rPr>
                <w:rFonts w:cstheme="minorHAnsi"/>
              </w:rPr>
              <w:t>144</w:t>
            </w:r>
          </w:p>
        </w:tc>
        <w:tc>
          <w:tcPr>
            <w:tcW w:w="1475" w:type="dxa"/>
            <w:tcBorders>
              <w:top w:val="single" w:sz="4" w:space="0" w:color="auto"/>
              <w:left w:val="single" w:sz="4" w:space="0" w:color="auto"/>
              <w:bottom w:val="single" w:sz="4" w:space="0" w:color="auto"/>
              <w:right w:val="single" w:sz="4" w:space="0" w:color="auto"/>
            </w:tcBorders>
          </w:tcPr>
          <w:p w14:paraId="72D22872" w14:textId="77777777" w:rsidR="00BF4E15" w:rsidRPr="00BF4E15" w:rsidRDefault="00BF4E15" w:rsidP="00BF4E15">
            <w:pPr>
              <w:spacing w:after="0" w:line="240" w:lineRule="auto"/>
              <w:jc w:val="center"/>
              <w:rPr>
                <w:rFonts w:cstheme="minorHAnsi"/>
              </w:rPr>
            </w:pPr>
            <w:r w:rsidRPr="00BF4E15">
              <w:rPr>
                <w:rFonts w:cstheme="minorHAnsi"/>
              </w:rPr>
              <w:t>170</w:t>
            </w:r>
          </w:p>
        </w:tc>
        <w:tc>
          <w:tcPr>
            <w:tcW w:w="1475" w:type="dxa"/>
            <w:tcBorders>
              <w:top w:val="single" w:sz="4" w:space="0" w:color="auto"/>
              <w:left w:val="single" w:sz="4" w:space="0" w:color="auto"/>
              <w:bottom w:val="single" w:sz="4" w:space="0" w:color="auto"/>
              <w:right w:val="single" w:sz="4" w:space="0" w:color="auto"/>
            </w:tcBorders>
          </w:tcPr>
          <w:p w14:paraId="0366A2A4" w14:textId="77777777" w:rsidR="00BF4E15" w:rsidRPr="00BF4E15" w:rsidRDefault="00BF4E15" w:rsidP="00BF4E15">
            <w:pPr>
              <w:spacing w:after="0" w:line="240" w:lineRule="auto"/>
              <w:jc w:val="center"/>
              <w:rPr>
                <w:rFonts w:cstheme="minorHAnsi"/>
              </w:rPr>
            </w:pPr>
            <w:r w:rsidRPr="00BF4E15">
              <w:rPr>
                <w:rFonts w:cstheme="minorHAnsi"/>
              </w:rPr>
              <w:t>188</w:t>
            </w:r>
          </w:p>
        </w:tc>
        <w:tc>
          <w:tcPr>
            <w:tcW w:w="1475" w:type="dxa"/>
            <w:tcBorders>
              <w:top w:val="single" w:sz="4" w:space="0" w:color="auto"/>
              <w:left w:val="single" w:sz="4" w:space="0" w:color="auto"/>
              <w:bottom w:val="single" w:sz="4" w:space="0" w:color="auto"/>
              <w:right w:val="single" w:sz="4" w:space="0" w:color="auto"/>
            </w:tcBorders>
          </w:tcPr>
          <w:p w14:paraId="137A1F8F" w14:textId="77777777" w:rsidR="00BF4E15" w:rsidRPr="00BF4E15" w:rsidRDefault="00BF4E15" w:rsidP="00BF4E15">
            <w:pPr>
              <w:spacing w:after="0" w:line="240" w:lineRule="auto"/>
              <w:jc w:val="center"/>
              <w:rPr>
                <w:rFonts w:cstheme="minorHAnsi"/>
              </w:rPr>
            </w:pPr>
            <w:r w:rsidRPr="00BF4E15">
              <w:rPr>
                <w:rFonts w:cstheme="minorHAnsi"/>
              </w:rPr>
              <w:t>157</w:t>
            </w:r>
          </w:p>
        </w:tc>
      </w:tr>
    </w:tbl>
    <w:p w14:paraId="1D11910E" w14:textId="24C0E43B" w:rsidR="00BF4E15" w:rsidRDefault="00DA3B5D" w:rsidP="00BF4E15">
      <w:pPr>
        <w:spacing w:after="0" w:line="240" w:lineRule="auto"/>
        <w:rPr>
          <w:rFonts w:cstheme="minorHAnsi"/>
        </w:rPr>
      </w:pPr>
      <w:r w:rsidRPr="00DA3B5D">
        <w:rPr>
          <w:rFonts w:cstheme="minorHAnsi"/>
        </w:rPr>
        <w:t>Note that these figures, though encouragingly suggesting a reduction in DRD, are not identical to final, formal DRD reporting</w:t>
      </w:r>
    </w:p>
    <w:p w14:paraId="57B8EF27" w14:textId="77777777" w:rsidR="00DA3B5D" w:rsidRPr="00BF4E15" w:rsidRDefault="00DA3B5D" w:rsidP="00BF4E15">
      <w:pPr>
        <w:spacing w:after="0" w:line="240" w:lineRule="auto"/>
        <w:rPr>
          <w:rFonts w:cstheme="minorHAnsi"/>
        </w:rPr>
      </w:pPr>
    </w:p>
    <w:p w14:paraId="45F68CD1" w14:textId="77777777" w:rsidR="00BF4E15" w:rsidRPr="00BF4E15" w:rsidRDefault="00BF4E15" w:rsidP="00BF4E15">
      <w:pPr>
        <w:spacing w:after="0" w:line="240" w:lineRule="auto"/>
        <w:rPr>
          <w:rFonts w:cstheme="minorHAnsi"/>
          <w:b/>
          <w:bCs/>
        </w:rPr>
      </w:pPr>
      <w:r w:rsidRPr="00BF4E15">
        <w:rPr>
          <w:rFonts w:cstheme="minorHAnsi"/>
          <w:b/>
          <w:bCs/>
        </w:rPr>
        <w:t>KPI: Drug Related Deaths</w:t>
      </w:r>
    </w:p>
    <w:p w14:paraId="1E8519C0" w14:textId="77777777" w:rsidR="00BF4E15" w:rsidRPr="00BF4E15" w:rsidRDefault="00BF4E15" w:rsidP="00BF4E15">
      <w:pPr>
        <w:spacing w:after="0" w:line="240" w:lineRule="auto"/>
        <w:rPr>
          <w:rFonts w:cstheme="minorHAnsi"/>
        </w:rPr>
      </w:pPr>
      <w:r w:rsidRPr="00BF4E15">
        <w:rPr>
          <w:rFonts w:cstheme="minorHAnsi"/>
          <w:noProof/>
        </w:rPr>
        <w:drawing>
          <wp:inline distT="0" distB="0" distL="0" distR="0" wp14:anchorId="13B15040" wp14:editId="14606A9D">
            <wp:extent cx="5984875" cy="2592070"/>
            <wp:effectExtent l="0" t="0" r="15875" b="17780"/>
            <wp:docPr id="1824374003" name="Chart 1">
              <a:extLst xmlns:a="http://schemas.openxmlformats.org/drawingml/2006/main">
                <a:ext uri="{FF2B5EF4-FFF2-40B4-BE49-F238E27FC236}">
                  <a16:creationId xmlns:a16="http://schemas.microsoft.com/office/drawing/2014/main" id="{08F3A182-52BA-47A3-9ECE-114D911E14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3399CD5" w14:textId="77777777" w:rsidR="00BF4E15" w:rsidRPr="00BF4E15" w:rsidRDefault="00BF4E15" w:rsidP="00BF4E15">
      <w:pPr>
        <w:spacing w:after="0" w:line="240" w:lineRule="auto"/>
        <w:rPr>
          <w:rFonts w:cstheme="minorHAnsi"/>
        </w:rPr>
      </w:pPr>
      <w:r w:rsidRPr="00BF4E15">
        <w:rPr>
          <w:rFonts w:cstheme="minorHAnsi"/>
        </w:rPr>
        <w:t>The National Records of Scotland DRD figures in 2022 were published in August 2023. They reported 113 drug-related deaths in Edinburgh - an increase from 109 in 2021 and 92 in 2020 and the highest ever number in a single year in Edinburgh.</w:t>
      </w:r>
    </w:p>
    <w:p w14:paraId="04429F87" w14:textId="77777777" w:rsidR="00BF4E15" w:rsidRPr="00BF4E15" w:rsidRDefault="00BF4E15" w:rsidP="00BF4E15">
      <w:pPr>
        <w:spacing w:after="0" w:line="240" w:lineRule="auto"/>
        <w:rPr>
          <w:rFonts w:cstheme="minorHAnsi"/>
        </w:rPr>
      </w:pPr>
    </w:p>
    <w:p w14:paraId="0AEEB32C" w14:textId="77777777" w:rsidR="00BF4E15" w:rsidRPr="00BF4E15" w:rsidRDefault="00BF4E15" w:rsidP="00BF4E15">
      <w:pPr>
        <w:spacing w:after="0" w:line="240" w:lineRule="auto"/>
        <w:rPr>
          <w:rFonts w:cstheme="minorHAnsi"/>
          <w:b/>
          <w:bCs/>
        </w:rPr>
      </w:pPr>
      <w:r w:rsidRPr="00BF4E15">
        <w:rPr>
          <w:rFonts w:cstheme="minorHAnsi"/>
          <w:b/>
          <w:bCs/>
        </w:rPr>
        <w:t>KPI Number of PWL/LE engaged in consultation or panels</w:t>
      </w:r>
    </w:p>
    <w:p w14:paraId="025C4A26" w14:textId="77777777" w:rsidR="00BF4E15" w:rsidRPr="00BF4E15" w:rsidRDefault="00BF4E15" w:rsidP="00BF4E15">
      <w:pPr>
        <w:numPr>
          <w:ilvl w:val="0"/>
          <w:numId w:val="13"/>
        </w:numPr>
        <w:spacing w:after="0" w:line="240" w:lineRule="auto"/>
        <w:ind w:left="360"/>
        <w:rPr>
          <w:rFonts w:cstheme="minorHAnsi"/>
        </w:rPr>
      </w:pPr>
      <w:r w:rsidRPr="00BF4E15">
        <w:rPr>
          <w:rFonts w:cstheme="minorHAnsi"/>
        </w:rPr>
        <w:t xml:space="preserve">Feasibility studies for SDCF and DCS interviewed 39 people with lived and living experience and 9 family members. </w:t>
      </w:r>
      <w:hyperlink r:id="rId30" w:history="1">
        <w:r w:rsidRPr="00BF4E15">
          <w:rPr>
            <w:rFonts w:cstheme="minorHAnsi"/>
            <w:color w:val="0563C1" w:themeColor="hyperlink"/>
            <w:u w:val="single"/>
          </w:rPr>
          <w:t>Safer Drug Consumption Facility and Drug Checking Service Reports</w:t>
        </w:r>
      </w:hyperlink>
    </w:p>
    <w:p w14:paraId="299538E5" w14:textId="77777777" w:rsidR="00BF4E15" w:rsidRPr="00BF4E15" w:rsidRDefault="00BF4E15" w:rsidP="00BF4E15">
      <w:pPr>
        <w:numPr>
          <w:ilvl w:val="0"/>
          <w:numId w:val="13"/>
        </w:numPr>
        <w:spacing w:after="0" w:line="240" w:lineRule="auto"/>
        <w:ind w:left="360"/>
        <w:rPr>
          <w:rFonts w:cstheme="minorHAnsi"/>
        </w:rPr>
      </w:pPr>
      <w:r w:rsidRPr="00BF4E15">
        <w:rPr>
          <w:rFonts w:cstheme="minorHAnsi"/>
        </w:rPr>
        <w:t xml:space="preserve">The development process for the lived and living experience panel involved focus groups with around 80 participants from a mix of open advertised meetings and existing groups. </w:t>
      </w:r>
    </w:p>
    <w:p w14:paraId="5CB47FA9" w14:textId="77777777" w:rsidR="00BF4E15" w:rsidRPr="00BF4E15" w:rsidRDefault="00BF4E15" w:rsidP="00BF4E15">
      <w:pPr>
        <w:numPr>
          <w:ilvl w:val="0"/>
          <w:numId w:val="13"/>
        </w:numPr>
        <w:spacing w:after="0" w:line="240" w:lineRule="auto"/>
        <w:ind w:left="360"/>
        <w:contextualSpacing/>
        <w:rPr>
          <w:rFonts w:cstheme="minorHAnsi"/>
        </w:rPr>
      </w:pPr>
      <w:r w:rsidRPr="00BF4E15">
        <w:rPr>
          <w:rFonts w:cstheme="minorHAnsi"/>
        </w:rPr>
        <w:t>MAT standards experiential engagement involved peer research with people attending all the main treatment Hubs with 47 surveys completed. 5 family members contributed to a survey focussed on their experiences of treatment access.</w:t>
      </w:r>
    </w:p>
    <w:p w14:paraId="13925867" w14:textId="77777777" w:rsidR="00BF4E15" w:rsidRPr="00BF4E15" w:rsidRDefault="00BF4E15" w:rsidP="00BF4E15">
      <w:pPr>
        <w:spacing w:after="0" w:line="240" w:lineRule="auto"/>
        <w:rPr>
          <w:rFonts w:cstheme="minorHAnsi"/>
          <w:color w:val="0070C0"/>
        </w:rPr>
      </w:pPr>
    </w:p>
    <w:p w14:paraId="7056315F" w14:textId="77777777" w:rsidR="00BF4E15" w:rsidRPr="00BF4E15" w:rsidRDefault="00BF4E15" w:rsidP="00BF4E15">
      <w:pPr>
        <w:spacing w:after="0" w:line="240" w:lineRule="auto"/>
        <w:rPr>
          <w:rFonts w:cstheme="minorHAnsi"/>
          <w:b/>
          <w:bCs/>
          <w:color w:val="0070C0"/>
        </w:rPr>
      </w:pPr>
      <w:r w:rsidRPr="00BF4E15">
        <w:rPr>
          <w:rFonts w:cstheme="minorHAnsi"/>
          <w:b/>
          <w:bCs/>
          <w:color w:val="0070C0"/>
        </w:rPr>
        <w:t>Getting it Right for Children, Young People and Families</w:t>
      </w:r>
    </w:p>
    <w:p w14:paraId="49E39633" w14:textId="77777777" w:rsidR="00BF4E15" w:rsidRDefault="00BF4E15" w:rsidP="00BF4E15">
      <w:pPr>
        <w:spacing w:after="0" w:line="240" w:lineRule="auto"/>
        <w:rPr>
          <w:rFonts w:cstheme="minorHAnsi"/>
          <w:b/>
          <w:bCs/>
        </w:rPr>
      </w:pPr>
    </w:p>
    <w:p w14:paraId="35B0EE11" w14:textId="1625F98F" w:rsidR="00BF4E15" w:rsidRPr="00BF4E15" w:rsidRDefault="00BF4E15" w:rsidP="00BF4E15">
      <w:pPr>
        <w:spacing w:after="0" w:line="240" w:lineRule="auto"/>
        <w:rPr>
          <w:rFonts w:cstheme="minorHAnsi"/>
          <w:b/>
          <w:bCs/>
        </w:rPr>
      </w:pPr>
      <w:r w:rsidRPr="00BF4E15">
        <w:rPr>
          <w:rFonts w:cstheme="minorHAnsi"/>
          <w:b/>
          <w:bCs/>
        </w:rPr>
        <w:t>KPI: Number of families and children supported through commissioned CAPSU services</w:t>
      </w:r>
    </w:p>
    <w:p w14:paraId="5FA9D306" w14:textId="77777777" w:rsidR="00BF4E15" w:rsidRPr="00BF4E15" w:rsidRDefault="00BF4E15" w:rsidP="00BF4E15">
      <w:pPr>
        <w:spacing w:after="0" w:line="240" w:lineRule="auto"/>
        <w:rPr>
          <w:rFonts w:cstheme="minorHAnsi"/>
          <w:b/>
          <w:bCs/>
        </w:rPr>
      </w:pPr>
    </w:p>
    <w:p w14:paraId="6637A616" w14:textId="77777777" w:rsidR="00BF4E15" w:rsidRPr="00BF4E15" w:rsidRDefault="00BF4E15" w:rsidP="00BF4E15">
      <w:pPr>
        <w:spacing w:after="0" w:line="240" w:lineRule="auto"/>
        <w:rPr>
          <w:rFonts w:eastAsia="Times New Roman" w:cstheme="minorHAnsi"/>
          <w:b/>
          <w:bCs/>
          <w:color w:val="000000"/>
        </w:rPr>
      </w:pPr>
      <w:r w:rsidRPr="00BF4E15">
        <w:rPr>
          <w:rFonts w:eastAsia="Times New Roman" w:cstheme="minorHAnsi"/>
          <w:b/>
          <w:bCs/>
          <w:color w:val="000000"/>
        </w:rPr>
        <w:t>Specialist support services</w:t>
      </w:r>
    </w:p>
    <w:p w14:paraId="7FEB7926" w14:textId="77777777" w:rsidR="00BF4E15" w:rsidRPr="00BF4E15" w:rsidRDefault="00BF4E15" w:rsidP="00BF4E15">
      <w:pPr>
        <w:spacing w:after="0" w:line="240" w:lineRule="auto"/>
        <w:rPr>
          <w:rFonts w:cstheme="minorHAnsi"/>
          <w:b/>
          <w:bCs/>
        </w:rPr>
      </w:pPr>
    </w:p>
    <w:p w14:paraId="07939ADF" w14:textId="77777777" w:rsidR="00BF4E15" w:rsidRPr="00BF4E15" w:rsidRDefault="00BF4E15" w:rsidP="00BF4E15">
      <w:pPr>
        <w:spacing w:after="0" w:line="240" w:lineRule="auto"/>
        <w:rPr>
          <w:rFonts w:cstheme="minorHAnsi"/>
        </w:rPr>
      </w:pPr>
      <w:r w:rsidRPr="00BF4E15">
        <w:rPr>
          <w:rFonts w:cstheme="minorHAnsi"/>
          <w:b/>
          <w:bCs/>
        </w:rPr>
        <w:t xml:space="preserve">Circle </w:t>
      </w:r>
    </w:p>
    <w:p w14:paraId="44A91E6D" w14:textId="77777777" w:rsidR="00BF4E15" w:rsidRPr="00BF4E15" w:rsidRDefault="00BF4E15" w:rsidP="00BF4E15">
      <w:pPr>
        <w:numPr>
          <w:ilvl w:val="0"/>
          <w:numId w:val="39"/>
        </w:numPr>
        <w:spacing w:after="0" w:line="240" w:lineRule="auto"/>
        <w:contextualSpacing/>
        <w:rPr>
          <w:rFonts w:cstheme="minorHAnsi"/>
        </w:rPr>
      </w:pPr>
      <w:r w:rsidRPr="00BF4E15">
        <w:rPr>
          <w:rFonts w:cstheme="minorHAnsi"/>
        </w:rPr>
        <w:t xml:space="preserve">42 young people received one to one support with 271 sessions attended. </w:t>
      </w:r>
    </w:p>
    <w:p w14:paraId="27010507" w14:textId="77777777" w:rsidR="00BF4E15" w:rsidRDefault="00BF4E15" w:rsidP="00BF4E15">
      <w:pPr>
        <w:numPr>
          <w:ilvl w:val="0"/>
          <w:numId w:val="39"/>
        </w:numPr>
        <w:spacing w:after="0" w:line="240" w:lineRule="auto"/>
        <w:contextualSpacing/>
        <w:rPr>
          <w:rFonts w:cstheme="minorHAnsi"/>
        </w:rPr>
      </w:pPr>
      <w:r w:rsidRPr="00BF4E15">
        <w:rPr>
          <w:rFonts w:cstheme="minorHAnsi"/>
        </w:rPr>
        <w:t>70% attended to address their own issues with substance use, others sought help with parental substance use</w:t>
      </w:r>
    </w:p>
    <w:p w14:paraId="7113E3C8" w14:textId="77777777" w:rsidR="00BF4E15" w:rsidRPr="00BF4E15" w:rsidRDefault="00BF4E15" w:rsidP="00BF4E15">
      <w:pPr>
        <w:spacing w:after="0" w:line="240" w:lineRule="auto"/>
        <w:contextualSpacing/>
        <w:rPr>
          <w:rFonts w:cstheme="minorHAnsi"/>
        </w:rPr>
      </w:pPr>
    </w:p>
    <w:p w14:paraId="6D2AB7AE" w14:textId="77777777" w:rsidR="00BF4E15" w:rsidRPr="00BF4E15" w:rsidRDefault="00BF4E15" w:rsidP="00BF4E15">
      <w:pPr>
        <w:spacing w:after="0" w:line="240" w:lineRule="auto"/>
        <w:rPr>
          <w:rFonts w:cstheme="minorHAnsi"/>
          <w:noProof/>
        </w:rPr>
      </w:pPr>
      <w:r w:rsidRPr="00BF4E15">
        <w:rPr>
          <w:rFonts w:cstheme="minorHAnsi"/>
          <w:b/>
          <w:bCs/>
          <w:noProof/>
        </w:rPr>
        <w:t xml:space="preserve">Junction </w:t>
      </w:r>
    </w:p>
    <w:p w14:paraId="1AD57BC2" w14:textId="77777777" w:rsidR="00BF4E15" w:rsidRPr="00BF4E15" w:rsidRDefault="00BF4E15" w:rsidP="00BF4E15">
      <w:pPr>
        <w:numPr>
          <w:ilvl w:val="0"/>
          <w:numId w:val="36"/>
        </w:numPr>
        <w:spacing w:after="0" w:line="240" w:lineRule="auto"/>
        <w:contextualSpacing/>
        <w:rPr>
          <w:rFonts w:cstheme="minorHAnsi"/>
          <w:noProof/>
        </w:rPr>
      </w:pPr>
      <w:r w:rsidRPr="00BF4E15">
        <w:rPr>
          <w:rFonts w:cstheme="minorHAnsi"/>
          <w:noProof/>
        </w:rPr>
        <w:t>64 young people in 1-1 support through their drop-in service</w:t>
      </w:r>
    </w:p>
    <w:p w14:paraId="0AF98A89" w14:textId="77777777" w:rsidR="00BF4E15" w:rsidRPr="00BF4E15" w:rsidRDefault="00BF4E15" w:rsidP="00BF4E15">
      <w:pPr>
        <w:spacing w:after="0" w:line="240" w:lineRule="auto"/>
        <w:rPr>
          <w:rFonts w:cstheme="minorHAnsi"/>
        </w:rPr>
      </w:pPr>
      <w:r w:rsidRPr="00BF4E15">
        <w:rPr>
          <w:rFonts w:cstheme="minorHAnsi"/>
          <w:b/>
          <w:bCs/>
        </w:rPr>
        <w:t xml:space="preserve">ASUS Tier 3 and 4 Specialist Nurse treatment </w:t>
      </w:r>
    </w:p>
    <w:p w14:paraId="22446112" w14:textId="77777777" w:rsidR="00BF4E15" w:rsidRPr="00BF4E15" w:rsidRDefault="00BF4E15" w:rsidP="00BF4E15">
      <w:pPr>
        <w:numPr>
          <w:ilvl w:val="0"/>
          <w:numId w:val="36"/>
        </w:numPr>
        <w:spacing w:after="0" w:line="240" w:lineRule="auto"/>
        <w:contextualSpacing/>
        <w:rPr>
          <w:rFonts w:cstheme="minorHAnsi"/>
        </w:rPr>
      </w:pPr>
      <w:r w:rsidRPr="00BF4E15">
        <w:rPr>
          <w:rFonts w:cstheme="minorHAnsi"/>
        </w:rPr>
        <w:t xml:space="preserve">Total caseload of 72 </w:t>
      </w:r>
    </w:p>
    <w:p w14:paraId="344CA4F7" w14:textId="77777777" w:rsidR="00BF4E15" w:rsidRPr="00BF4E15" w:rsidRDefault="00BF4E15" w:rsidP="00BF4E15">
      <w:pPr>
        <w:numPr>
          <w:ilvl w:val="0"/>
          <w:numId w:val="36"/>
        </w:numPr>
        <w:spacing w:after="0" w:line="240" w:lineRule="auto"/>
        <w:contextualSpacing/>
        <w:rPr>
          <w:rFonts w:cstheme="minorHAnsi"/>
        </w:rPr>
      </w:pPr>
      <w:r w:rsidRPr="00BF4E15">
        <w:rPr>
          <w:rFonts w:cstheme="minorHAnsi"/>
        </w:rPr>
        <w:t>43 new referrals.</w:t>
      </w:r>
    </w:p>
    <w:p w14:paraId="7197064C" w14:textId="77777777" w:rsidR="00BF4E15" w:rsidRPr="00BF4E15" w:rsidRDefault="00BF4E15" w:rsidP="00BF4E15">
      <w:pPr>
        <w:spacing w:after="0" w:line="240" w:lineRule="auto"/>
        <w:rPr>
          <w:rFonts w:cstheme="minorHAnsi"/>
        </w:rPr>
      </w:pPr>
    </w:p>
    <w:p w14:paraId="63E80F58" w14:textId="77777777" w:rsidR="00BF4E15" w:rsidRPr="00BF4E15" w:rsidRDefault="00BF4E15" w:rsidP="00BF4E15">
      <w:pPr>
        <w:spacing w:after="0" w:line="240" w:lineRule="auto"/>
        <w:rPr>
          <w:rFonts w:cstheme="minorHAnsi"/>
          <w:b/>
          <w:bCs/>
          <w:color w:val="0070C0"/>
        </w:rPr>
      </w:pPr>
      <w:r w:rsidRPr="00BF4E15">
        <w:rPr>
          <w:rFonts w:cstheme="minorHAnsi"/>
          <w:b/>
          <w:bCs/>
          <w:color w:val="0070C0"/>
        </w:rPr>
        <w:t>A public health approach to Justice</w:t>
      </w:r>
    </w:p>
    <w:p w14:paraId="58A195AF" w14:textId="77777777" w:rsidR="00BF4E15" w:rsidRPr="00BF4E15" w:rsidRDefault="00BF4E15" w:rsidP="00BF4E15">
      <w:pPr>
        <w:spacing w:after="0" w:line="240" w:lineRule="auto"/>
        <w:rPr>
          <w:rFonts w:cstheme="minorHAnsi"/>
        </w:rPr>
      </w:pPr>
    </w:p>
    <w:p w14:paraId="49F837EF" w14:textId="77777777" w:rsidR="00BF4E15" w:rsidRPr="00BF4E15" w:rsidRDefault="00BF4E15" w:rsidP="00BF4E15">
      <w:pPr>
        <w:spacing w:after="0" w:line="240" w:lineRule="auto"/>
        <w:rPr>
          <w:rFonts w:cstheme="minorHAnsi"/>
          <w:b/>
          <w:bCs/>
        </w:rPr>
      </w:pPr>
      <w:r w:rsidRPr="00BF4E15">
        <w:rPr>
          <w:rFonts w:cstheme="minorHAnsi"/>
          <w:b/>
          <w:bCs/>
        </w:rPr>
        <w:t>KPI: Number of patients treated under DTTO</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652"/>
        <w:gridCol w:w="798"/>
        <w:gridCol w:w="801"/>
        <w:gridCol w:w="840"/>
        <w:gridCol w:w="687"/>
        <w:gridCol w:w="847"/>
        <w:gridCol w:w="852"/>
        <w:gridCol w:w="709"/>
        <w:gridCol w:w="851"/>
        <w:gridCol w:w="709"/>
        <w:gridCol w:w="993"/>
      </w:tblGrid>
      <w:tr w:rsidR="00DA3B5D" w:rsidRPr="002422C8" w14:paraId="646166D6" w14:textId="77777777" w:rsidTr="00DB56A1">
        <w:trPr>
          <w:trHeight w:val="386"/>
        </w:trPr>
        <w:tc>
          <w:tcPr>
            <w:tcW w:w="2901" w:type="dxa"/>
            <w:gridSpan w:val="4"/>
            <w:tcBorders>
              <w:top w:val="single" w:sz="4" w:space="0" w:color="auto"/>
              <w:left w:val="single" w:sz="4" w:space="0" w:color="auto"/>
              <w:bottom w:val="single" w:sz="4" w:space="0" w:color="auto"/>
              <w:right w:val="single" w:sz="4" w:space="0" w:color="auto"/>
            </w:tcBorders>
            <w:noWrap/>
            <w:vAlign w:val="bottom"/>
            <w:hideMark/>
          </w:tcPr>
          <w:p w14:paraId="7C8E8A10"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FY 2021/22</w:t>
            </w:r>
          </w:p>
        </w:tc>
        <w:tc>
          <w:tcPr>
            <w:tcW w:w="3223" w:type="dxa"/>
            <w:gridSpan w:val="4"/>
            <w:tcBorders>
              <w:top w:val="single" w:sz="4" w:space="0" w:color="auto"/>
              <w:left w:val="single" w:sz="4" w:space="0" w:color="auto"/>
              <w:bottom w:val="single" w:sz="4" w:space="0" w:color="auto"/>
              <w:right w:val="single" w:sz="4" w:space="0" w:color="auto"/>
            </w:tcBorders>
            <w:noWrap/>
            <w:vAlign w:val="bottom"/>
            <w:hideMark/>
          </w:tcPr>
          <w:p w14:paraId="03537703"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FY 2022/23</w:t>
            </w:r>
          </w:p>
        </w:tc>
        <w:tc>
          <w:tcPr>
            <w:tcW w:w="3260" w:type="dxa"/>
            <w:gridSpan w:val="4"/>
            <w:tcBorders>
              <w:top w:val="single" w:sz="4" w:space="0" w:color="auto"/>
              <w:left w:val="single" w:sz="4" w:space="0" w:color="auto"/>
              <w:bottom w:val="single" w:sz="4" w:space="0" w:color="auto"/>
              <w:right w:val="single" w:sz="4" w:space="0" w:color="auto"/>
            </w:tcBorders>
            <w:noWrap/>
            <w:vAlign w:val="bottom"/>
            <w:hideMark/>
          </w:tcPr>
          <w:p w14:paraId="3409507C"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FY 2023/24</w:t>
            </w:r>
          </w:p>
        </w:tc>
      </w:tr>
      <w:tr w:rsidR="00DA3B5D" w:rsidRPr="002422C8" w14:paraId="21AE507E" w14:textId="77777777" w:rsidTr="00DB56A1">
        <w:trPr>
          <w:trHeight w:val="386"/>
        </w:trPr>
        <w:tc>
          <w:tcPr>
            <w:tcW w:w="652" w:type="dxa"/>
            <w:tcBorders>
              <w:top w:val="single" w:sz="4" w:space="0" w:color="auto"/>
              <w:left w:val="single" w:sz="4" w:space="0" w:color="auto"/>
              <w:bottom w:val="single" w:sz="4" w:space="0" w:color="auto"/>
              <w:right w:val="single" w:sz="4" w:space="0" w:color="auto"/>
            </w:tcBorders>
            <w:noWrap/>
            <w:vAlign w:val="bottom"/>
            <w:hideMark/>
          </w:tcPr>
          <w:p w14:paraId="07B2FCA8"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Q1</w:t>
            </w:r>
          </w:p>
        </w:tc>
        <w:tc>
          <w:tcPr>
            <w:tcW w:w="652" w:type="dxa"/>
            <w:tcBorders>
              <w:top w:val="single" w:sz="4" w:space="0" w:color="auto"/>
              <w:left w:val="single" w:sz="4" w:space="0" w:color="auto"/>
              <w:bottom w:val="single" w:sz="4" w:space="0" w:color="auto"/>
              <w:right w:val="single" w:sz="4" w:space="0" w:color="auto"/>
            </w:tcBorders>
            <w:noWrap/>
            <w:vAlign w:val="bottom"/>
            <w:hideMark/>
          </w:tcPr>
          <w:p w14:paraId="7893757F"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Q2</w:t>
            </w:r>
          </w:p>
        </w:tc>
        <w:tc>
          <w:tcPr>
            <w:tcW w:w="797" w:type="dxa"/>
            <w:tcBorders>
              <w:top w:val="single" w:sz="4" w:space="0" w:color="auto"/>
              <w:left w:val="single" w:sz="4" w:space="0" w:color="auto"/>
              <w:bottom w:val="single" w:sz="4" w:space="0" w:color="auto"/>
              <w:right w:val="single" w:sz="4" w:space="0" w:color="auto"/>
            </w:tcBorders>
            <w:noWrap/>
            <w:vAlign w:val="bottom"/>
            <w:hideMark/>
          </w:tcPr>
          <w:p w14:paraId="4C0F7961"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Q3</w:t>
            </w:r>
          </w:p>
        </w:tc>
        <w:tc>
          <w:tcPr>
            <w:tcW w:w="800" w:type="dxa"/>
            <w:tcBorders>
              <w:top w:val="single" w:sz="4" w:space="0" w:color="auto"/>
              <w:left w:val="single" w:sz="4" w:space="0" w:color="auto"/>
              <w:bottom w:val="single" w:sz="4" w:space="0" w:color="auto"/>
              <w:right w:val="single" w:sz="4" w:space="0" w:color="auto"/>
            </w:tcBorders>
            <w:noWrap/>
            <w:vAlign w:val="bottom"/>
            <w:hideMark/>
          </w:tcPr>
          <w:p w14:paraId="08B05BFA"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Q4</w:t>
            </w:r>
          </w:p>
        </w:tc>
        <w:tc>
          <w:tcPr>
            <w:tcW w:w="839" w:type="dxa"/>
            <w:tcBorders>
              <w:top w:val="single" w:sz="4" w:space="0" w:color="auto"/>
              <w:left w:val="single" w:sz="4" w:space="0" w:color="auto"/>
              <w:bottom w:val="single" w:sz="4" w:space="0" w:color="auto"/>
              <w:right w:val="single" w:sz="4" w:space="0" w:color="auto"/>
            </w:tcBorders>
            <w:noWrap/>
            <w:vAlign w:val="bottom"/>
            <w:hideMark/>
          </w:tcPr>
          <w:p w14:paraId="70C54236"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Q1</w:t>
            </w:r>
          </w:p>
        </w:tc>
        <w:tc>
          <w:tcPr>
            <w:tcW w:w="687" w:type="dxa"/>
            <w:tcBorders>
              <w:top w:val="single" w:sz="4" w:space="0" w:color="auto"/>
              <w:left w:val="single" w:sz="4" w:space="0" w:color="auto"/>
              <w:bottom w:val="single" w:sz="4" w:space="0" w:color="auto"/>
              <w:right w:val="single" w:sz="4" w:space="0" w:color="auto"/>
            </w:tcBorders>
            <w:noWrap/>
            <w:vAlign w:val="bottom"/>
            <w:hideMark/>
          </w:tcPr>
          <w:p w14:paraId="5A89FAE4"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Q2</w:t>
            </w:r>
          </w:p>
        </w:tc>
        <w:tc>
          <w:tcPr>
            <w:tcW w:w="846" w:type="dxa"/>
            <w:tcBorders>
              <w:top w:val="single" w:sz="4" w:space="0" w:color="auto"/>
              <w:left w:val="single" w:sz="4" w:space="0" w:color="auto"/>
              <w:bottom w:val="single" w:sz="4" w:space="0" w:color="auto"/>
              <w:right w:val="single" w:sz="4" w:space="0" w:color="auto"/>
            </w:tcBorders>
            <w:noWrap/>
            <w:vAlign w:val="bottom"/>
            <w:hideMark/>
          </w:tcPr>
          <w:p w14:paraId="7A6ADE9B"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Q3</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0EAE215"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DF0308B"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2833A83"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F686A5C"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3C54328"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Q4</w:t>
            </w:r>
          </w:p>
        </w:tc>
      </w:tr>
      <w:tr w:rsidR="00DA3B5D" w:rsidRPr="002422C8" w14:paraId="7A9A5812" w14:textId="77777777" w:rsidTr="00DB56A1">
        <w:trPr>
          <w:trHeight w:val="386"/>
        </w:trPr>
        <w:tc>
          <w:tcPr>
            <w:tcW w:w="652" w:type="dxa"/>
            <w:tcBorders>
              <w:top w:val="single" w:sz="4" w:space="0" w:color="auto"/>
              <w:left w:val="single" w:sz="4" w:space="0" w:color="auto"/>
              <w:bottom w:val="single" w:sz="4" w:space="0" w:color="auto"/>
              <w:right w:val="single" w:sz="4" w:space="0" w:color="auto"/>
            </w:tcBorders>
            <w:noWrap/>
            <w:vAlign w:val="center"/>
            <w:hideMark/>
          </w:tcPr>
          <w:p w14:paraId="3752A806"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98</w:t>
            </w:r>
          </w:p>
        </w:tc>
        <w:tc>
          <w:tcPr>
            <w:tcW w:w="652" w:type="dxa"/>
            <w:tcBorders>
              <w:top w:val="single" w:sz="4" w:space="0" w:color="auto"/>
              <w:left w:val="single" w:sz="4" w:space="0" w:color="auto"/>
              <w:bottom w:val="single" w:sz="4" w:space="0" w:color="auto"/>
              <w:right w:val="single" w:sz="4" w:space="0" w:color="auto"/>
            </w:tcBorders>
            <w:noWrap/>
            <w:vAlign w:val="center"/>
            <w:hideMark/>
          </w:tcPr>
          <w:p w14:paraId="7904B522"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90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44A5DA14"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100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14:paraId="29AC0D81"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106</w:t>
            </w:r>
          </w:p>
        </w:tc>
        <w:tc>
          <w:tcPr>
            <w:tcW w:w="839" w:type="dxa"/>
            <w:tcBorders>
              <w:top w:val="single" w:sz="4" w:space="0" w:color="auto"/>
              <w:left w:val="single" w:sz="4" w:space="0" w:color="auto"/>
              <w:bottom w:val="single" w:sz="4" w:space="0" w:color="auto"/>
              <w:right w:val="single" w:sz="4" w:space="0" w:color="auto"/>
            </w:tcBorders>
            <w:noWrap/>
            <w:vAlign w:val="center"/>
            <w:hideMark/>
          </w:tcPr>
          <w:p w14:paraId="488ED858"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102</w:t>
            </w:r>
          </w:p>
        </w:tc>
        <w:tc>
          <w:tcPr>
            <w:tcW w:w="687" w:type="dxa"/>
            <w:tcBorders>
              <w:top w:val="single" w:sz="4" w:space="0" w:color="auto"/>
              <w:left w:val="single" w:sz="4" w:space="0" w:color="auto"/>
              <w:bottom w:val="single" w:sz="4" w:space="0" w:color="auto"/>
              <w:right w:val="single" w:sz="4" w:space="0" w:color="auto"/>
            </w:tcBorders>
            <w:noWrap/>
            <w:vAlign w:val="center"/>
            <w:hideMark/>
          </w:tcPr>
          <w:p w14:paraId="2B0E7093"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87</w:t>
            </w:r>
          </w:p>
        </w:tc>
        <w:tc>
          <w:tcPr>
            <w:tcW w:w="846" w:type="dxa"/>
            <w:tcBorders>
              <w:top w:val="single" w:sz="4" w:space="0" w:color="auto"/>
              <w:left w:val="single" w:sz="4" w:space="0" w:color="auto"/>
              <w:bottom w:val="single" w:sz="4" w:space="0" w:color="auto"/>
              <w:right w:val="single" w:sz="4" w:space="0" w:color="auto"/>
            </w:tcBorders>
            <w:noWrap/>
            <w:vAlign w:val="center"/>
            <w:hideMark/>
          </w:tcPr>
          <w:p w14:paraId="6401919D"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56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B3C288D"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42</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DEC6E02"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46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24512D3"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42</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EF0092A"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32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9C41EF" w14:textId="77777777" w:rsidR="00DA3B5D" w:rsidRPr="002422C8" w:rsidRDefault="00DA3B5D" w:rsidP="00DA3B5D">
            <w:pPr>
              <w:jc w:val="center"/>
              <w:rPr>
                <w:rFonts w:ascii="Arial" w:hAnsi="Arial" w:cs="Arial"/>
                <w:sz w:val="24"/>
                <w:szCs w:val="24"/>
              </w:rPr>
            </w:pPr>
            <w:r w:rsidRPr="002422C8">
              <w:rPr>
                <w:rFonts w:ascii="Arial" w:hAnsi="Arial" w:cs="Arial"/>
                <w:sz w:val="24"/>
                <w:szCs w:val="24"/>
              </w:rPr>
              <w:t>25</w:t>
            </w:r>
          </w:p>
        </w:tc>
      </w:tr>
    </w:tbl>
    <w:p w14:paraId="7EA306A0" w14:textId="77777777" w:rsidR="00BF4E15" w:rsidRPr="00BF4E15" w:rsidRDefault="00BF4E15" w:rsidP="00BF4E15">
      <w:pPr>
        <w:spacing w:after="0" w:line="240" w:lineRule="auto"/>
        <w:rPr>
          <w:rFonts w:cstheme="minorHAnsi"/>
          <w:color w:val="0070C0"/>
        </w:rPr>
      </w:pPr>
    </w:p>
    <w:p w14:paraId="4F4215BF" w14:textId="77777777" w:rsidR="00BF4E15" w:rsidRPr="00BF4E15" w:rsidRDefault="00BF4E15" w:rsidP="00BF4E15">
      <w:pPr>
        <w:spacing w:after="0" w:line="240" w:lineRule="auto"/>
        <w:rPr>
          <w:rFonts w:cstheme="minorHAnsi"/>
          <w:b/>
          <w:bCs/>
        </w:rPr>
      </w:pPr>
      <w:r w:rsidRPr="00BF4E15">
        <w:rPr>
          <w:rFonts w:cstheme="minorHAnsi"/>
          <w:b/>
          <w:bCs/>
        </w:rPr>
        <w:t>KPI: Number of individuals supported by EMORS</w:t>
      </w:r>
    </w:p>
    <w:tbl>
      <w:tblPr>
        <w:tblpPr w:leftFromText="180" w:rightFromText="180" w:bottomFromText="115" w:vertAnchor="text"/>
        <w:tblW w:w="9390" w:type="dxa"/>
        <w:tblCellMar>
          <w:left w:w="0" w:type="dxa"/>
          <w:right w:w="0" w:type="dxa"/>
        </w:tblCellMar>
        <w:tblLook w:val="04A0" w:firstRow="1" w:lastRow="0" w:firstColumn="1" w:lastColumn="0" w:noHBand="0" w:noVBand="1"/>
      </w:tblPr>
      <w:tblGrid>
        <w:gridCol w:w="734"/>
        <w:gridCol w:w="734"/>
        <w:gridCol w:w="734"/>
        <w:gridCol w:w="734"/>
        <w:gridCol w:w="734"/>
        <w:gridCol w:w="734"/>
        <w:gridCol w:w="733"/>
        <w:gridCol w:w="733"/>
        <w:gridCol w:w="929"/>
        <w:gridCol w:w="929"/>
        <w:gridCol w:w="929"/>
        <w:gridCol w:w="733"/>
      </w:tblGrid>
      <w:tr w:rsidR="00DA3B5D" w:rsidRPr="002422C8" w14:paraId="5E1BF823" w14:textId="77777777" w:rsidTr="00DA3B5D">
        <w:trPr>
          <w:trHeight w:val="851"/>
        </w:trPr>
        <w:tc>
          <w:tcPr>
            <w:tcW w:w="0" w:type="auto"/>
            <w:tcBorders>
              <w:top w:val="nil"/>
              <w:left w:val="single" w:sz="8" w:space="0" w:color="000000"/>
              <w:bottom w:val="single" w:sz="8" w:space="0" w:color="000000"/>
              <w:right w:val="single" w:sz="8" w:space="0" w:color="000000"/>
            </w:tcBorders>
            <w:hideMark/>
          </w:tcPr>
          <w:p w14:paraId="497C0292"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Q1 21/22</w:t>
            </w:r>
          </w:p>
        </w:tc>
        <w:tc>
          <w:tcPr>
            <w:tcW w:w="0" w:type="auto"/>
            <w:tcBorders>
              <w:top w:val="nil"/>
              <w:left w:val="nil"/>
              <w:bottom w:val="single" w:sz="8" w:space="0" w:color="000000"/>
              <w:right w:val="single" w:sz="8" w:space="0" w:color="000000"/>
            </w:tcBorders>
            <w:hideMark/>
          </w:tcPr>
          <w:p w14:paraId="357B87D6"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Q2 21/22</w:t>
            </w:r>
          </w:p>
        </w:tc>
        <w:tc>
          <w:tcPr>
            <w:tcW w:w="0" w:type="auto"/>
            <w:tcBorders>
              <w:top w:val="nil"/>
              <w:left w:val="nil"/>
              <w:bottom w:val="single" w:sz="8" w:space="0" w:color="000000"/>
              <w:right w:val="single" w:sz="8" w:space="0" w:color="000000"/>
            </w:tcBorders>
            <w:hideMark/>
          </w:tcPr>
          <w:p w14:paraId="5F16ECB0"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Q3 21/22</w:t>
            </w:r>
          </w:p>
        </w:tc>
        <w:tc>
          <w:tcPr>
            <w:tcW w:w="0" w:type="auto"/>
            <w:tcBorders>
              <w:top w:val="nil"/>
              <w:left w:val="nil"/>
              <w:bottom w:val="single" w:sz="8" w:space="0" w:color="000000"/>
              <w:right w:val="single" w:sz="8" w:space="0" w:color="000000"/>
            </w:tcBorders>
            <w:hideMark/>
          </w:tcPr>
          <w:p w14:paraId="0D8314E0"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Q4 21/22</w:t>
            </w:r>
          </w:p>
        </w:tc>
        <w:tc>
          <w:tcPr>
            <w:tcW w:w="0" w:type="auto"/>
            <w:tcBorders>
              <w:top w:val="nil"/>
              <w:left w:val="nil"/>
              <w:bottom w:val="single" w:sz="8" w:space="0" w:color="000000"/>
              <w:right w:val="single" w:sz="8" w:space="0" w:color="000000"/>
            </w:tcBorders>
            <w:hideMark/>
          </w:tcPr>
          <w:p w14:paraId="78C48F4B"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Q1 22/23</w:t>
            </w:r>
          </w:p>
        </w:tc>
        <w:tc>
          <w:tcPr>
            <w:tcW w:w="0" w:type="auto"/>
            <w:tcBorders>
              <w:top w:val="nil"/>
              <w:left w:val="nil"/>
              <w:bottom w:val="single" w:sz="8" w:space="0" w:color="000000"/>
              <w:right w:val="single" w:sz="8" w:space="0" w:color="000000"/>
            </w:tcBorders>
            <w:hideMark/>
          </w:tcPr>
          <w:p w14:paraId="27BA19BF"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Q2 22/23</w:t>
            </w:r>
          </w:p>
        </w:tc>
        <w:tc>
          <w:tcPr>
            <w:tcW w:w="0" w:type="auto"/>
            <w:tcBorders>
              <w:top w:val="nil"/>
              <w:left w:val="nil"/>
              <w:bottom w:val="single" w:sz="8" w:space="0" w:color="000000"/>
              <w:right w:val="single" w:sz="8" w:space="0" w:color="000000"/>
            </w:tcBorders>
            <w:hideMark/>
          </w:tcPr>
          <w:p w14:paraId="297A84A3"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Q3 22/23</w:t>
            </w:r>
          </w:p>
        </w:tc>
        <w:tc>
          <w:tcPr>
            <w:tcW w:w="0" w:type="auto"/>
            <w:tcBorders>
              <w:top w:val="nil"/>
              <w:left w:val="nil"/>
              <w:bottom w:val="single" w:sz="8" w:space="0" w:color="000000"/>
              <w:right w:val="single" w:sz="8" w:space="0" w:color="000000"/>
            </w:tcBorders>
            <w:hideMark/>
          </w:tcPr>
          <w:p w14:paraId="5C3F294B"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Q4 22/23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E201868"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Q1 23/24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05538C8" w14:textId="77777777" w:rsidR="00DA3B5D" w:rsidRPr="002422C8" w:rsidRDefault="00DA3B5D" w:rsidP="00DA3B5D">
            <w:pPr>
              <w:spacing w:after="0"/>
              <w:jc w:val="center"/>
              <w:rPr>
                <w:rFonts w:ascii="Arial" w:hAnsi="Arial" w:cs="Arial"/>
                <w:sz w:val="24"/>
                <w:szCs w:val="24"/>
                <w:lang w:eastAsia="en-GB"/>
              </w:rPr>
            </w:pPr>
            <w:r w:rsidRPr="002422C8">
              <w:rPr>
                <w:rFonts w:ascii="Arial" w:hAnsi="Arial" w:cs="Arial"/>
                <w:sz w:val="24"/>
                <w:szCs w:val="24"/>
                <w:lang w:eastAsia="en-GB"/>
              </w:rPr>
              <w:t>Q2 23/24</w:t>
            </w:r>
          </w:p>
        </w:tc>
        <w:tc>
          <w:tcPr>
            <w:tcW w:w="0" w:type="auto"/>
            <w:tcBorders>
              <w:top w:val="nil"/>
              <w:left w:val="nil"/>
              <w:bottom w:val="single" w:sz="8" w:space="0" w:color="000000"/>
              <w:right w:val="single" w:sz="8" w:space="0" w:color="auto"/>
            </w:tcBorders>
            <w:tcMar>
              <w:top w:w="0" w:type="dxa"/>
              <w:left w:w="108" w:type="dxa"/>
              <w:bottom w:w="0" w:type="dxa"/>
              <w:right w:w="108" w:type="dxa"/>
            </w:tcMar>
            <w:hideMark/>
          </w:tcPr>
          <w:p w14:paraId="507012D1"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Q3 23/24</w:t>
            </w:r>
          </w:p>
        </w:tc>
        <w:tc>
          <w:tcPr>
            <w:tcW w:w="0" w:type="auto"/>
            <w:tcBorders>
              <w:top w:val="nil"/>
              <w:left w:val="nil"/>
              <w:bottom w:val="single" w:sz="8" w:space="0" w:color="auto"/>
              <w:right w:val="single" w:sz="8" w:space="0" w:color="auto"/>
            </w:tcBorders>
            <w:hideMark/>
          </w:tcPr>
          <w:p w14:paraId="768EC4AC"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Q4 23/24</w:t>
            </w:r>
          </w:p>
        </w:tc>
      </w:tr>
      <w:tr w:rsidR="00DA3B5D" w:rsidRPr="002422C8" w14:paraId="120147D3" w14:textId="77777777" w:rsidTr="00DA3B5D">
        <w:trPr>
          <w:trHeight w:val="654"/>
        </w:trPr>
        <w:tc>
          <w:tcPr>
            <w:tcW w:w="0" w:type="auto"/>
            <w:tcBorders>
              <w:top w:val="nil"/>
              <w:left w:val="single" w:sz="8" w:space="0" w:color="000000"/>
              <w:bottom w:val="single" w:sz="8" w:space="0" w:color="000000"/>
              <w:right w:val="single" w:sz="8" w:space="0" w:color="000000"/>
            </w:tcBorders>
            <w:hideMark/>
          </w:tcPr>
          <w:p w14:paraId="720B4814"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272</w:t>
            </w:r>
          </w:p>
        </w:tc>
        <w:tc>
          <w:tcPr>
            <w:tcW w:w="0" w:type="auto"/>
            <w:tcBorders>
              <w:top w:val="nil"/>
              <w:left w:val="nil"/>
              <w:bottom w:val="single" w:sz="8" w:space="0" w:color="000000"/>
              <w:right w:val="single" w:sz="8" w:space="0" w:color="000000"/>
            </w:tcBorders>
            <w:hideMark/>
          </w:tcPr>
          <w:p w14:paraId="35D920A7"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241</w:t>
            </w:r>
          </w:p>
        </w:tc>
        <w:tc>
          <w:tcPr>
            <w:tcW w:w="0" w:type="auto"/>
            <w:tcBorders>
              <w:top w:val="nil"/>
              <w:left w:val="nil"/>
              <w:bottom w:val="single" w:sz="8" w:space="0" w:color="000000"/>
              <w:right w:val="single" w:sz="8" w:space="0" w:color="000000"/>
            </w:tcBorders>
            <w:hideMark/>
          </w:tcPr>
          <w:p w14:paraId="65C66408"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283</w:t>
            </w:r>
          </w:p>
        </w:tc>
        <w:tc>
          <w:tcPr>
            <w:tcW w:w="0" w:type="auto"/>
            <w:tcBorders>
              <w:top w:val="nil"/>
              <w:left w:val="nil"/>
              <w:bottom w:val="single" w:sz="8" w:space="0" w:color="000000"/>
              <w:right w:val="single" w:sz="8" w:space="0" w:color="000000"/>
            </w:tcBorders>
            <w:hideMark/>
          </w:tcPr>
          <w:p w14:paraId="06F87E0C"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309</w:t>
            </w:r>
          </w:p>
        </w:tc>
        <w:tc>
          <w:tcPr>
            <w:tcW w:w="0" w:type="auto"/>
            <w:tcBorders>
              <w:top w:val="nil"/>
              <w:left w:val="nil"/>
              <w:bottom w:val="single" w:sz="8" w:space="0" w:color="000000"/>
              <w:right w:val="single" w:sz="8" w:space="0" w:color="000000"/>
            </w:tcBorders>
            <w:hideMark/>
          </w:tcPr>
          <w:p w14:paraId="06083E7F"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334</w:t>
            </w:r>
          </w:p>
        </w:tc>
        <w:tc>
          <w:tcPr>
            <w:tcW w:w="0" w:type="auto"/>
            <w:tcBorders>
              <w:top w:val="nil"/>
              <w:left w:val="nil"/>
              <w:bottom w:val="single" w:sz="8" w:space="0" w:color="000000"/>
              <w:right w:val="single" w:sz="8" w:space="0" w:color="000000"/>
            </w:tcBorders>
            <w:hideMark/>
          </w:tcPr>
          <w:p w14:paraId="05524118"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339</w:t>
            </w:r>
          </w:p>
        </w:tc>
        <w:tc>
          <w:tcPr>
            <w:tcW w:w="0" w:type="auto"/>
            <w:tcBorders>
              <w:top w:val="nil"/>
              <w:left w:val="nil"/>
              <w:bottom w:val="single" w:sz="8" w:space="0" w:color="000000"/>
              <w:right w:val="single" w:sz="8" w:space="0" w:color="000000"/>
            </w:tcBorders>
            <w:hideMark/>
          </w:tcPr>
          <w:p w14:paraId="3F97D69D"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277</w:t>
            </w:r>
          </w:p>
        </w:tc>
        <w:tc>
          <w:tcPr>
            <w:tcW w:w="0" w:type="auto"/>
            <w:tcBorders>
              <w:top w:val="nil"/>
              <w:left w:val="nil"/>
              <w:bottom w:val="single" w:sz="8" w:space="0" w:color="000000"/>
              <w:right w:val="single" w:sz="8" w:space="0" w:color="000000"/>
            </w:tcBorders>
            <w:shd w:val="clear" w:color="auto" w:fill="auto"/>
          </w:tcPr>
          <w:p w14:paraId="3F1114E9" w14:textId="1DD77493" w:rsidR="00DA3B5D" w:rsidRPr="002422C8" w:rsidRDefault="00DA3B5D" w:rsidP="00DA3B5D">
            <w:pPr>
              <w:jc w:val="center"/>
              <w:rPr>
                <w:rFonts w:ascii="Arial" w:hAnsi="Arial" w:cs="Arial"/>
                <w:sz w:val="24"/>
                <w:szCs w:val="24"/>
                <w:lang w:eastAsia="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D5BFA40"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492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C9C274B"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373</w:t>
            </w:r>
          </w:p>
        </w:tc>
        <w:tc>
          <w:tcPr>
            <w:tcW w:w="0" w:type="auto"/>
            <w:tcBorders>
              <w:top w:val="nil"/>
              <w:left w:val="nil"/>
              <w:bottom w:val="single" w:sz="8" w:space="0" w:color="000000"/>
              <w:right w:val="single" w:sz="8" w:space="0" w:color="auto"/>
            </w:tcBorders>
            <w:tcMar>
              <w:top w:w="0" w:type="dxa"/>
              <w:left w:w="108" w:type="dxa"/>
              <w:bottom w:w="0" w:type="dxa"/>
              <w:right w:w="108" w:type="dxa"/>
            </w:tcMar>
            <w:hideMark/>
          </w:tcPr>
          <w:p w14:paraId="2D9C2B02" w14:textId="77777777" w:rsidR="00DA3B5D" w:rsidRPr="002422C8" w:rsidRDefault="00DA3B5D" w:rsidP="00DB56A1">
            <w:pPr>
              <w:jc w:val="center"/>
              <w:rPr>
                <w:rFonts w:ascii="Arial" w:hAnsi="Arial" w:cs="Arial"/>
                <w:sz w:val="24"/>
                <w:szCs w:val="24"/>
                <w:lang w:eastAsia="en-GB"/>
              </w:rPr>
            </w:pPr>
            <w:r w:rsidRPr="002422C8">
              <w:rPr>
                <w:rFonts w:ascii="Arial" w:hAnsi="Arial" w:cs="Arial"/>
                <w:sz w:val="24"/>
                <w:szCs w:val="24"/>
                <w:lang w:eastAsia="en-GB"/>
              </w:rPr>
              <w:t>311</w:t>
            </w:r>
          </w:p>
        </w:tc>
        <w:tc>
          <w:tcPr>
            <w:tcW w:w="0" w:type="auto"/>
            <w:tcBorders>
              <w:top w:val="nil"/>
              <w:left w:val="nil"/>
              <w:bottom w:val="single" w:sz="8" w:space="0" w:color="auto"/>
              <w:right w:val="single" w:sz="8" w:space="0" w:color="auto"/>
            </w:tcBorders>
            <w:hideMark/>
          </w:tcPr>
          <w:p w14:paraId="5B2ABF7F" w14:textId="77777777" w:rsidR="00DA3B5D" w:rsidRPr="002422C8" w:rsidRDefault="00DA3B5D" w:rsidP="00DB56A1">
            <w:pPr>
              <w:jc w:val="center"/>
              <w:rPr>
                <w:rFonts w:ascii="Arial" w:hAnsi="Arial" w:cs="Arial"/>
                <w:sz w:val="24"/>
                <w:szCs w:val="24"/>
                <w:lang w:eastAsia="en-GB"/>
                <w14:ligatures w14:val="standardContextual"/>
              </w:rPr>
            </w:pPr>
            <w:r w:rsidRPr="002422C8">
              <w:rPr>
                <w:rFonts w:ascii="Arial" w:hAnsi="Arial" w:cs="Arial"/>
                <w:sz w:val="24"/>
                <w:szCs w:val="24"/>
                <w:lang w:eastAsia="en-GB"/>
              </w:rPr>
              <w:t>363</w:t>
            </w:r>
          </w:p>
        </w:tc>
      </w:tr>
    </w:tbl>
    <w:p w14:paraId="34E66073" w14:textId="48FB5839" w:rsidR="394D0E43" w:rsidRPr="00C44B9C" w:rsidRDefault="394D0E43" w:rsidP="394D0E43">
      <w:pPr>
        <w:pStyle w:val="directorstitle"/>
        <w:rPr>
          <w:rFonts w:asciiTheme="minorHAnsi" w:hAnsiTheme="minorHAnsi" w:cstheme="minorHAnsi"/>
        </w:rPr>
      </w:pPr>
    </w:p>
    <w:sectPr w:rsidR="394D0E43" w:rsidRPr="00C44B9C" w:rsidSect="00864715">
      <w:footerReference w:type="default" r:id="rId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AD457" w14:textId="77777777" w:rsidR="00133FCC" w:rsidRDefault="00133FCC" w:rsidP="00E253EB">
      <w:pPr>
        <w:spacing w:after="0" w:line="240" w:lineRule="auto"/>
      </w:pPr>
      <w:r>
        <w:separator/>
      </w:r>
    </w:p>
  </w:endnote>
  <w:endnote w:type="continuationSeparator" w:id="0">
    <w:p w14:paraId="252FE0C7" w14:textId="77777777" w:rsidR="00133FCC" w:rsidRDefault="00133FCC" w:rsidP="00E2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1018"/>
      <w:docPartObj>
        <w:docPartGallery w:val="Page Numbers (Bottom of Page)"/>
        <w:docPartUnique/>
      </w:docPartObj>
    </w:sdtPr>
    <w:sdtEndPr>
      <w:rPr>
        <w:noProof/>
      </w:rPr>
    </w:sdtEndPr>
    <w:sdtContent>
      <w:p w14:paraId="0241C221" w14:textId="1E990D24" w:rsidR="002D5D89" w:rsidRDefault="002D5D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0B73BD" w14:textId="77777777" w:rsidR="002D5D89" w:rsidRDefault="002D5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68B23" w14:textId="77777777" w:rsidR="00133FCC" w:rsidRDefault="00133FCC" w:rsidP="00E253EB">
      <w:pPr>
        <w:spacing w:after="0" w:line="240" w:lineRule="auto"/>
      </w:pPr>
      <w:r>
        <w:separator/>
      </w:r>
    </w:p>
  </w:footnote>
  <w:footnote w:type="continuationSeparator" w:id="0">
    <w:p w14:paraId="7BD5BB2E" w14:textId="77777777" w:rsidR="00133FCC" w:rsidRDefault="00133FCC" w:rsidP="00E25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A47"/>
    <w:multiLevelType w:val="hybridMultilevel"/>
    <w:tmpl w:val="2CB8E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61F94"/>
    <w:multiLevelType w:val="hybridMultilevel"/>
    <w:tmpl w:val="70DE6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806330"/>
    <w:multiLevelType w:val="hybridMultilevel"/>
    <w:tmpl w:val="7B12FBF6"/>
    <w:lvl w:ilvl="0" w:tplc="08090001">
      <w:start w:val="1"/>
      <w:numFmt w:val="bullet"/>
      <w:lvlText w:val=""/>
      <w:lvlJc w:val="left"/>
      <w:pPr>
        <w:ind w:left="720" w:hanging="360"/>
      </w:pPr>
      <w:rPr>
        <w:rFonts w:ascii="Symbol" w:hAnsi="Symbol" w:hint="default"/>
      </w:rPr>
    </w:lvl>
    <w:lvl w:ilvl="1" w:tplc="9B62766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E4DDB"/>
    <w:multiLevelType w:val="hybridMultilevel"/>
    <w:tmpl w:val="FF8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2F4C41"/>
    <w:multiLevelType w:val="hybridMultilevel"/>
    <w:tmpl w:val="2BEA126A"/>
    <w:lvl w:ilvl="0" w:tplc="08090001">
      <w:start w:val="1"/>
      <w:numFmt w:val="bullet"/>
      <w:lvlText w:val=""/>
      <w:lvlJc w:val="left"/>
      <w:pPr>
        <w:ind w:left="3752" w:hanging="360"/>
      </w:pPr>
      <w:rPr>
        <w:rFonts w:ascii="Symbol" w:hAnsi="Symbol" w:hint="default"/>
      </w:rPr>
    </w:lvl>
    <w:lvl w:ilvl="1" w:tplc="08090003" w:tentative="1">
      <w:start w:val="1"/>
      <w:numFmt w:val="bullet"/>
      <w:lvlText w:val="o"/>
      <w:lvlJc w:val="left"/>
      <w:pPr>
        <w:ind w:left="4472" w:hanging="360"/>
      </w:pPr>
      <w:rPr>
        <w:rFonts w:ascii="Courier New" w:hAnsi="Courier New" w:cs="Courier New" w:hint="default"/>
      </w:rPr>
    </w:lvl>
    <w:lvl w:ilvl="2" w:tplc="08090005" w:tentative="1">
      <w:start w:val="1"/>
      <w:numFmt w:val="bullet"/>
      <w:lvlText w:val=""/>
      <w:lvlJc w:val="left"/>
      <w:pPr>
        <w:ind w:left="5192" w:hanging="360"/>
      </w:pPr>
      <w:rPr>
        <w:rFonts w:ascii="Wingdings" w:hAnsi="Wingdings" w:hint="default"/>
      </w:rPr>
    </w:lvl>
    <w:lvl w:ilvl="3" w:tplc="08090001" w:tentative="1">
      <w:start w:val="1"/>
      <w:numFmt w:val="bullet"/>
      <w:lvlText w:val=""/>
      <w:lvlJc w:val="left"/>
      <w:pPr>
        <w:ind w:left="5912" w:hanging="360"/>
      </w:pPr>
      <w:rPr>
        <w:rFonts w:ascii="Symbol" w:hAnsi="Symbol" w:hint="default"/>
      </w:rPr>
    </w:lvl>
    <w:lvl w:ilvl="4" w:tplc="08090003" w:tentative="1">
      <w:start w:val="1"/>
      <w:numFmt w:val="bullet"/>
      <w:lvlText w:val="o"/>
      <w:lvlJc w:val="left"/>
      <w:pPr>
        <w:ind w:left="6632" w:hanging="360"/>
      </w:pPr>
      <w:rPr>
        <w:rFonts w:ascii="Courier New" w:hAnsi="Courier New" w:cs="Courier New" w:hint="default"/>
      </w:rPr>
    </w:lvl>
    <w:lvl w:ilvl="5" w:tplc="08090005" w:tentative="1">
      <w:start w:val="1"/>
      <w:numFmt w:val="bullet"/>
      <w:lvlText w:val=""/>
      <w:lvlJc w:val="left"/>
      <w:pPr>
        <w:ind w:left="7352" w:hanging="360"/>
      </w:pPr>
      <w:rPr>
        <w:rFonts w:ascii="Wingdings" w:hAnsi="Wingdings" w:hint="default"/>
      </w:rPr>
    </w:lvl>
    <w:lvl w:ilvl="6" w:tplc="08090001" w:tentative="1">
      <w:start w:val="1"/>
      <w:numFmt w:val="bullet"/>
      <w:lvlText w:val=""/>
      <w:lvlJc w:val="left"/>
      <w:pPr>
        <w:ind w:left="8072" w:hanging="360"/>
      </w:pPr>
      <w:rPr>
        <w:rFonts w:ascii="Symbol" w:hAnsi="Symbol" w:hint="default"/>
      </w:rPr>
    </w:lvl>
    <w:lvl w:ilvl="7" w:tplc="08090003" w:tentative="1">
      <w:start w:val="1"/>
      <w:numFmt w:val="bullet"/>
      <w:lvlText w:val="o"/>
      <w:lvlJc w:val="left"/>
      <w:pPr>
        <w:ind w:left="8792" w:hanging="360"/>
      </w:pPr>
      <w:rPr>
        <w:rFonts w:ascii="Courier New" w:hAnsi="Courier New" w:cs="Courier New" w:hint="default"/>
      </w:rPr>
    </w:lvl>
    <w:lvl w:ilvl="8" w:tplc="08090005" w:tentative="1">
      <w:start w:val="1"/>
      <w:numFmt w:val="bullet"/>
      <w:lvlText w:val=""/>
      <w:lvlJc w:val="left"/>
      <w:pPr>
        <w:ind w:left="9512" w:hanging="360"/>
      </w:pPr>
      <w:rPr>
        <w:rFonts w:ascii="Wingdings" w:hAnsi="Wingdings" w:hint="default"/>
      </w:rPr>
    </w:lvl>
  </w:abstractNum>
  <w:abstractNum w:abstractNumId="5" w15:restartNumberingAfterBreak="0">
    <w:nsid w:val="09AC3DB4"/>
    <w:multiLevelType w:val="hybridMultilevel"/>
    <w:tmpl w:val="DD98A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56A6C"/>
    <w:multiLevelType w:val="hybridMultilevel"/>
    <w:tmpl w:val="0C602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7473F6"/>
    <w:multiLevelType w:val="hybridMultilevel"/>
    <w:tmpl w:val="DFC6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9135A"/>
    <w:multiLevelType w:val="hybridMultilevel"/>
    <w:tmpl w:val="19E24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4031BC"/>
    <w:multiLevelType w:val="hybridMultilevel"/>
    <w:tmpl w:val="6F12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96238"/>
    <w:multiLevelType w:val="hybridMultilevel"/>
    <w:tmpl w:val="4CEA299C"/>
    <w:lvl w:ilvl="0" w:tplc="C2C0C97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A04C14"/>
    <w:multiLevelType w:val="hybridMultilevel"/>
    <w:tmpl w:val="D418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B0443"/>
    <w:multiLevelType w:val="hybridMultilevel"/>
    <w:tmpl w:val="3CDE5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4840FF"/>
    <w:multiLevelType w:val="hybridMultilevel"/>
    <w:tmpl w:val="5B66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D734B"/>
    <w:multiLevelType w:val="hybridMultilevel"/>
    <w:tmpl w:val="A9465A0E"/>
    <w:lvl w:ilvl="0" w:tplc="0B7AAB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36B1F"/>
    <w:multiLevelType w:val="hybridMultilevel"/>
    <w:tmpl w:val="B6EA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74A76"/>
    <w:multiLevelType w:val="hybridMultilevel"/>
    <w:tmpl w:val="B85E7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D56536"/>
    <w:multiLevelType w:val="hybridMultilevel"/>
    <w:tmpl w:val="9B92B884"/>
    <w:lvl w:ilvl="0" w:tplc="0B7AAB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33364"/>
    <w:multiLevelType w:val="hybridMultilevel"/>
    <w:tmpl w:val="94809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4C3FF8"/>
    <w:multiLevelType w:val="hybridMultilevel"/>
    <w:tmpl w:val="2AF2DF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2B192F"/>
    <w:multiLevelType w:val="hybridMultilevel"/>
    <w:tmpl w:val="B442C8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E97C66"/>
    <w:multiLevelType w:val="hybridMultilevel"/>
    <w:tmpl w:val="00EE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D7A72"/>
    <w:multiLevelType w:val="hybridMultilevel"/>
    <w:tmpl w:val="8A3EFA84"/>
    <w:lvl w:ilvl="0" w:tplc="5672E124">
      <w:start w:val="1"/>
      <w:numFmt w:val="decimal"/>
      <w:lvlText w:val="%1)"/>
      <w:lvlJc w:val="left"/>
      <w:pPr>
        <w:tabs>
          <w:tab w:val="num" w:pos="1080"/>
        </w:tabs>
        <w:ind w:left="1080" w:hanging="360"/>
      </w:pPr>
    </w:lvl>
    <w:lvl w:ilvl="1" w:tplc="DA4405F8" w:tentative="1">
      <w:start w:val="1"/>
      <w:numFmt w:val="decimal"/>
      <w:lvlText w:val="%2)"/>
      <w:lvlJc w:val="left"/>
      <w:pPr>
        <w:tabs>
          <w:tab w:val="num" w:pos="1800"/>
        </w:tabs>
        <w:ind w:left="1800" w:hanging="360"/>
      </w:pPr>
    </w:lvl>
    <w:lvl w:ilvl="2" w:tplc="698EF060" w:tentative="1">
      <w:start w:val="1"/>
      <w:numFmt w:val="decimal"/>
      <w:lvlText w:val="%3)"/>
      <w:lvlJc w:val="left"/>
      <w:pPr>
        <w:tabs>
          <w:tab w:val="num" w:pos="2520"/>
        </w:tabs>
        <w:ind w:left="2520" w:hanging="360"/>
      </w:pPr>
    </w:lvl>
    <w:lvl w:ilvl="3" w:tplc="18608A10" w:tentative="1">
      <w:start w:val="1"/>
      <w:numFmt w:val="decimal"/>
      <w:lvlText w:val="%4)"/>
      <w:lvlJc w:val="left"/>
      <w:pPr>
        <w:tabs>
          <w:tab w:val="num" w:pos="3240"/>
        </w:tabs>
        <w:ind w:left="3240" w:hanging="360"/>
      </w:pPr>
    </w:lvl>
    <w:lvl w:ilvl="4" w:tplc="03FAD26A" w:tentative="1">
      <w:start w:val="1"/>
      <w:numFmt w:val="decimal"/>
      <w:lvlText w:val="%5)"/>
      <w:lvlJc w:val="left"/>
      <w:pPr>
        <w:tabs>
          <w:tab w:val="num" w:pos="3960"/>
        </w:tabs>
        <w:ind w:left="3960" w:hanging="360"/>
      </w:pPr>
    </w:lvl>
    <w:lvl w:ilvl="5" w:tplc="BD923A86" w:tentative="1">
      <w:start w:val="1"/>
      <w:numFmt w:val="decimal"/>
      <w:lvlText w:val="%6)"/>
      <w:lvlJc w:val="left"/>
      <w:pPr>
        <w:tabs>
          <w:tab w:val="num" w:pos="4680"/>
        </w:tabs>
        <w:ind w:left="4680" w:hanging="360"/>
      </w:pPr>
    </w:lvl>
    <w:lvl w:ilvl="6" w:tplc="87D456E2" w:tentative="1">
      <w:start w:val="1"/>
      <w:numFmt w:val="decimal"/>
      <w:lvlText w:val="%7)"/>
      <w:lvlJc w:val="left"/>
      <w:pPr>
        <w:tabs>
          <w:tab w:val="num" w:pos="5400"/>
        </w:tabs>
        <w:ind w:left="5400" w:hanging="360"/>
      </w:pPr>
    </w:lvl>
    <w:lvl w:ilvl="7" w:tplc="907A07C2" w:tentative="1">
      <w:start w:val="1"/>
      <w:numFmt w:val="decimal"/>
      <w:lvlText w:val="%8)"/>
      <w:lvlJc w:val="left"/>
      <w:pPr>
        <w:tabs>
          <w:tab w:val="num" w:pos="6120"/>
        </w:tabs>
        <w:ind w:left="6120" w:hanging="360"/>
      </w:pPr>
    </w:lvl>
    <w:lvl w:ilvl="8" w:tplc="F35CB53C" w:tentative="1">
      <w:start w:val="1"/>
      <w:numFmt w:val="decimal"/>
      <w:lvlText w:val="%9)"/>
      <w:lvlJc w:val="left"/>
      <w:pPr>
        <w:tabs>
          <w:tab w:val="num" w:pos="6840"/>
        </w:tabs>
        <w:ind w:left="6840" w:hanging="360"/>
      </w:pPr>
    </w:lvl>
  </w:abstractNum>
  <w:abstractNum w:abstractNumId="23" w15:restartNumberingAfterBreak="0">
    <w:nsid w:val="48D431D5"/>
    <w:multiLevelType w:val="hybridMultilevel"/>
    <w:tmpl w:val="E9BEB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8FC40EA"/>
    <w:multiLevelType w:val="hybridMultilevel"/>
    <w:tmpl w:val="49300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A3526"/>
    <w:multiLevelType w:val="hybridMultilevel"/>
    <w:tmpl w:val="BA5E3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C14B58"/>
    <w:multiLevelType w:val="hybridMultilevel"/>
    <w:tmpl w:val="89EE0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6124B4"/>
    <w:multiLevelType w:val="hybridMultilevel"/>
    <w:tmpl w:val="84509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D05C83"/>
    <w:multiLevelType w:val="hybridMultilevel"/>
    <w:tmpl w:val="7598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E6BDD"/>
    <w:multiLevelType w:val="hybridMultilevel"/>
    <w:tmpl w:val="B752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918CD"/>
    <w:multiLevelType w:val="hybridMultilevel"/>
    <w:tmpl w:val="435C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B7F27"/>
    <w:multiLevelType w:val="hybridMultilevel"/>
    <w:tmpl w:val="AEB4D8A6"/>
    <w:lvl w:ilvl="0" w:tplc="08090001">
      <w:start w:val="1"/>
      <w:numFmt w:val="bullet"/>
      <w:lvlText w:val=""/>
      <w:lvlJc w:val="left"/>
      <w:pPr>
        <w:ind w:left="720" w:hanging="360"/>
      </w:pPr>
      <w:rPr>
        <w:rFonts w:ascii="Symbol" w:hAnsi="Symbol" w:hint="default"/>
      </w:rPr>
    </w:lvl>
    <w:lvl w:ilvl="1" w:tplc="FFFFFFFF" w:tentative="1">
      <w:start w:val="1"/>
      <w:numFmt w:val="bullet"/>
      <w:pStyle w:val="11"/>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0B0CBA"/>
    <w:multiLevelType w:val="hybridMultilevel"/>
    <w:tmpl w:val="C79E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A2815"/>
    <w:multiLevelType w:val="hybridMultilevel"/>
    <w:tmpl w:val="A7E6C9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636A2B3C"/>
    <w:multiLevelType w:val="hybridMultilevel"/>
    <w:tmpl w:val="49E67C08"/>
    <w:lvl w:ilvl="0" w:tplc="DE366C68">
      <w:start w:val="1"/>
      <w:numFmt w:val="bullet"/>
      <w:lvlText w:val=""/>
      <w:lvlJc w:val="left"/>
      <w:pPr>
        <w:ind w:left="64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76419E"/>
    <w:multiLevelType w:val="hybridMultilevel"/>
    <w:tmpl w:val="1F2C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011D6"/>
    <w:multiLevelType w:val="hybridMultilevel"/>
    <w:tmpl w:val="64B4D61A"/>
    <w:lvl w:ilvl="0" w:tplc="100C11D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B365AC"/>
    <w:multiLevelType w:val="hybridMultilevel"/>
    <w:tmpl w:val="AA8C6A04"/>
    <w:lvl w:ilvl="0" w:tplc="8A56AFC8">
      <w:start w:val="1"/>
      <w:numFmt w:val="bullet"/>
      <w:lvlText w:val=""/>
      <w:lvlJc w:val="left"/>
      <w:pPr>
        <w:ind w:left="720" w:hanging="360"/>
      </w:pPr>
      <w:rPr>
        <w:rFonts w:ascii="Symbol" w:hAnsi="Symbol" w:hint="default"/>
      </w:rPr>
    </w:lvl>
    <w:lvl w:ilvl="1" w:tplc="1E8C4A14">
      <w:start w:val="1"/>
      <w:numFmt w:val="bullet"/>
      <w:lvlText w:val="o"/>
      <w:lvlJc w:val="left"/>
      <w:pPr>
        <w:ind w:left="1440" w:hanging="360"/>
      </w:pPr>
      <w:rPr>
        <w:rFonts w:ascii="Courier New" w:hAnsi="Courier New" w:hint="default"/>
      </w:rPr>
    </w:lvl>
    <w:lvl w:ilvl="2" w:tplc="2FA67672">
      <w:start w:val="1"/>
      <w:numFmt w:val="bullet"/>
      <w:lvlText w:val=""/>
      <w:lvlJc w:val="left"/>
      <w:pPr>
        <w:ind w:left="2160" w:hanging="360"/>
      </w:pPr>
      <w:rPr>
        <w:rFonts w:ascii="Wingdings" w:hAnsi="Wingdings" w:hint="default"/>
      </w:rPr>
    </w:lvl>
    <w:lvl w:ilvl="3" w:tplc="62002A6C">
      <w:start w:val="1"/>
      <w:numFmt w:val="bullet"/>
      <w:lvlText w:val=""/>
      <w:lvlJc w:val="left"/>
      <w:pPr>
        <w:ind w:left="2880" w:hanging="360"/>
      </w:pPr>
      <w:rPr>
        <w:rFonts w:ascii="Symbol" w:hAnsi="Symbol" w:hint="default"/>
      </w:rPr>
    </w:lvl>
    <w:lvl w:ilvl="4" w:tplc="D80A7392">
      <w:start w:val="1"/>
      <w:numFmt w:val="bullet"/>
      <w:lvlText w:val="o"/>
      <w:lvlJc w:val="left"/>
      <w:pPr>
        <w:ind w:left="3600" w:hanging="360"/>
      </w:pPr>
      <w:rPr>
        <w:rFonts w:ascii="Courier New" w:hAnsi="Courier New" w:hint="default"/>
      </w:rPr>
    </w:lvl>
    <w:lvl w:ilvl="5" w:tplc="26061FE0">
      <w:start w:val="1"/>
      <w:numFmt w:val="bullet"/>
      <w:lvlText w:val=""/>
      <w:lvlJc w:val="left"/>
      <w:pPr>
        <w:ind w:left="4320" w:hanging="360"/>
      </w:pPr>
      <w:rPr>
        <w:rFonts w:ascii="Wingdings" w:hAnsi="Wingdings" w:hint="default"/>
      </w:rPr>
    </w:lvl>
    <w:lvl w:ilvl="6" w:tplc="590ED574">
      <w:start w:val="1"/>
      <w:numFmt w:val="bullet"/>
      <w:lvlText w:val=""/>
      <w:lvlJc w:val="left"/>
      <w:pPr>
        <w:ind w:left="5040" w:hanging="360"/>
      </w:pPr>
      <w:rPr>
        <w:rFonts w:ascii="Symbol" w:hAnsi="Symbol" w:hint="default"/>
      </w:rPr>
    </w:lvl>
    <w:lvl w:ilvl="7" w:tplc="7B2A9EBA">
      <w:start w:val="1"/>
      <w:numFmt w:val="bullet"/>
      <w:lvlText w:val="o"/>
      <w:lvlJc w:val="left"/>
      <w:pPr>
        <w:ind w:left="5760" w:hanging="360"/>
      </w:pPr>
      <w:rPr>
        <w:rFonts w:ascii="Courier New" w:hAnsi="Courier New" w:hint="default"/>
      </w:rPr>
    </w:lvl>
    <w:lvl w:ilvl="8" w:tplc="BB2E8A2E">
      <w:start w:val="1"/>
      <w:numFmt w:val="bullet"/>
      <w:lvlText w:val=""/>
      <w:lvlJc w:val="left"/>
      <w:pPr>
        <w:ind w:left="6480" w:hanging="360"/>
      </w:pPr>
      <w:rPr>
        <w:rFonts w:ascii="Wingdings" w:hAnsi="Wingdings" w:hint="default"/>
      </w:rPr>
    </w:lvl>
  </w:abstractNum>
  <w:num w:numId="1" w16cid:durableId="1786075772">
    <w:abstractNumId w:val="37"/>
  </w:num>
  <w:num w:numId="2" w16cid:durableId="1887255433">
    <w:abstractNumId w:val="10"/>
  </w:num>
  <w:num w:numId="3" w16cid:durableId="1343510794">
    <w:abstractNumId w:val="22"/>
  </w:num>
  <w:num w:numId="4" w16cid:durableId="820121505">
    <w:abstractNumId w:val="31"/>
  </w:num>
  <w:num w:numId="5" w16cid:durableId="358169468">
    <w:abstractNumId w:val="36"/>
  </w:num>
  <w:num w:numId="6" w16cid:durableId="862324275">
    <w:abstractNumId w:val="4"/>
  </w:num>
  <w:num w:numId="7" w16cid:durableId="1318340713">
    <w:abstractNumId w:val="19"/>
  </w:num>
  <w:num w:numId="8" w16cid:durableId="2072657759">
    <w:abstractNumId w:val="3"/>
  </w:num>
  <w:num w:numId="9" w16cid:durableId="80954937">
    <w:abstractNumId w:val="34"/>
  </w:num>
  <w:num w:numId="10" w16cid:durableId="850679524">
    <w:abstractNumId w:val="18"/>
  </w:num>
  <w:num w:numId="11" w16cid:durableId="1535575822">
    <w:abstractNumId w:val="20"/>
  </w:num>
  <w:num w:numId="12" w16cid:durableId="768279108">
    <w:abstractNumId w:val="33"/>
  </w:num>
  <w:num w:numId="13" w16cid:durableId="668991618">
    <w:abstractNumId w:val="18"/>
  </w:num>
  <w:num w:numId="14" w16cid:durableId="1970744575">
    <w:abstractNumId w:val="0"/>
  </w:num>
  <w:num w:numId="15" w16cid:durableId="1144128314">
    <w:abstractNumId w:val="2"/>
  </w:num>
  <w:num w:numId="16" w16cid:durableId="487944663">
    <w:abstractNumId w:val="6"/>
  </w:num>
  <w:num w:numId="17" w16cid:durableId="792557525">
    <w:abstractNumId w:val="17"/>
  </w:num>
  <w:num w:numId="18" w16cid:durableId="1881242079">
    <w:abstractNumId w:val="14"/>
  </w:num>
  <w:num w:numId="19" w16cid:durableId="407189946">
    <w:abstractNumId w:val="32"/>
  </w:num>
  <w:num w:numId="20" w16cid:durableId="1531725429">
    <w:abstractNumId w:val="16"/>
  </w:num>
  <w:num w:numId="21" w16cid:durableId="1457482365">
    <w:abstractNumId w:val="8"/>
  </w:num>
  <w:num w:numId="22" w16cid:durableId="725496463">
    <w:abstractNumId w:val="23"/>
  </w:num>
  <w:num w:numId="23" w16cid:durableId="1695838703">
    <w:abstractNumId w:val="13"/>
  </w:num>
  <w:num w:numId="24" w16cid:durableId="224338041">
    <w:abstractNumId w:val="35"/>
  </w:num>
  <w:num w:numId="25" w16cid:durableId="1726172637">
    <w:abstractNumId w:val="27"/>
  </w:num>
  <w:num w:numId="26" w16cid:durableId="1879201194">
    <w:abstractNumId w:val="12"/>
  </w:num>
  <w:num w:numId="27" w16cid:durableId="519200910">
    <w:abstractNumId w:val="1"/>
  </w:num>
  <w:num w:numId="28" w16cid:durableId="1868522209">
    <w:abstractNumId w:val="15"/>
  </w:num>
  <w:num w:numId="29" w16cid:durableId="1453329399">
    <w:abstractNumId w:val="11"/>
  </w:num>
  <w:num w:numId="30" w16cid:durableId="966396458">
    <w:abstractNumId w:val="7"/>
  </w:num>
  <w:num w:numId="31" w16cid:durableId="737823109">
    <w:abstractNumId w:val="21"/>
  </w:num>
  <w:num w:numId="32" w16cid:durableId="2107993677">
    <w:abstractNumId w:val="28"/>
  </w:num>
  <w:num w:numId="33" w16cid:durableId="463501341">
    <w:abstractNumId w:val="26"/>
  </w:num>
  <w:num w:numId="34" w16cid:durableId="1287586090">
    <w:abstractNumId w:val="29"/>
  </w:num>
  <w:num w:numId="35" w16cid:durableId="1798179306">
    <w:abstractNumId w:val="9"/>
  </w:num>
  <w:num w:numId="36" w16cid:durableId="1255629562">
    <w:abstractNumId w:val="25"/>
  </w:num>
  <w:num w:numId="37" w16cid:durableId="833112625">
    <w:abstractNumId w:val="5"/>
  </w:num>
  <w:num w:numId="38" w16cid:durableId="2097436186">
    <w:abstractNumId w:val="30"/>
  </w:num>
  <w:num w:numId="39" w16cid:durableId="187415365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D0"/>
    <w:rsid w:val="00002438"/>
    <w:rsid w:val="00002A11"/>
    <w:rsid w:val="0000416A"/>
    <w:rsid w:val="0002162E"/>
    <w:rsid w:val="000216B1"/>
    <w:rsid w:val="00021A5F"/>
    <w:rsid w:val="00022A96"/>
    <w:rsid w:val="0003104B"/>
    <w:rsid w:val="00032F05"/>
    <w:rsid w:val="00033532"/>
    <w:rsid w:val="000351DE"/>
    <w:rsid w:val="000373BC"/>
    <w:rsid w:val="00041064"/>
    <w:rsid w:val="000413B1"/>
    <w:rsid w:val="00042B88"/>
    <w:rsid w:val="00063563"/>
    <w:rsid w:val="000638F1"/>
    <w:rsid w:val="00065543"/>
    <w:rsid w:val="00070638"/>
    <w:rsid w:val="00076741"/>
    <w:rsid w:val="00082BE3"/>
    <w:rsid w:val="00084818"/>
    <w:rsid w:val="000902EF"/>
    <w:rsid w:val="00096A00"/>
    <w:rsid w:val="00096B46"/>
    <w:rsid w:val="000A0144"/>
    <w:rsid w:val="000A262B"/>
    <w:rsid w:val="000A2679"/>
    <w:rsid w:val="000A69EC"/>
    <w:rsid w:val="000C7B9B"/>
    <w:rsid w:val="000D0577"/>
    <w:rsid w:val="000D505A"/>
    <w:rsid w:val="000E4438"/>
    <w:rsid w:val="000E788D"/>
    <w:rsid w:val="000F1F69"/>
    <w:rsid w:val="000F1F7B"/>
    <w:rsid w:val="000F255D"/>
    <w:rsid w:val="000F2847"/>
    <w:rsid w:val="000F5DB5"/>
    <w:rsid w:val="000F7902"/>
    <w:rsid w:val="00104470"/>
    <w:rsid w:val="001064DB"/>
    <w:rsid w:val="00110E14"/>
    <w:rsid w:val="00111C4F"/>
    <w:rsid w:val="00112ACD"/>
    <w:rsid w:val="00116081"/>
    <w:rsid w:val="00116BCF"/>
    <w:rsid w:val="00122958"/>
    <w:rsid w:val="00123779"/>
    <w:rsid w:val="00127F3F"/>
    <w:rsid w:val="00131139"/>
    <w:rsid w:val="00133FCC"/>
    <w:rsid w:val="00147BD3"/>
    <w:rsid w:val="00161A68"/>
    <w:rsid w:val="00162020"/>
    <w:rsid w:val="00173504"/>
    <w:rsid w:val="001818FC"/>
    <w:rsid w:val="001829C3"/>
    <w:rsid w:val="00186398"/>
    <w:rsid w:val="0019257A"/>
    <w:rsid w:val="001A3D9F"/>
    <w:rsid w:val="001A47EA"/>
    <w:rsid w:val="001B3E57"/>
    <w:rsid w:val="001C384B"/>
    <w:rsid w:val="001C6BAD"/>
    <w:rsid w:val="001C7E84"/>
    <w:rsid w:val="001D3B0C"/>
    <w:rsid w:val="001D411A"/>
    <w:rsid w:val="001D6A9C"/>
    <w:rsid w:val="001D7F6D"/>
    <w:rsid w:val="001E2FCC"/>
    <w:rsid w:val="00200C1A"/>
    <w:rsid w:val="00202FAC"/>
    <w:rsid w:val="00216497"/>
    <w:rsid w:val="0022001B"/>
    <w:rsid w:val="0022697E"/>
    <w:rsid w:val="002422C8"/>
    <w:rsid w:val="00242EF3"/>
    <w:rsid w:val="002501C1"/>
    <w:rsid w:val="00257731"/>
    <w:rsid w:val="00260163"/>
    <w:rsid w:val="0026195E"/>
    <w:rsid w:val="00265E6F"/>
    <w:rsid w:val="00266E6D"/>
    <w:rsid w:val="002762CD"/>
    <w:rsid w:val="002763EA"/>
    <w:rsid w:val="00277BDD"/>
    <w:rsid w:val="0028110F"/>
    <w:rsid w:val="00282AAC"/>
    <w:rsid w:val="00290CD5"/>
    <w:rsid w:val="00290D1F"/>
    <w:rsid w:val="00291E22"/>
    <w:rsid w:val="00292F74"/>
    <w:rsid w:val="00292FF0"/>
    <w:rsid w:val="00293B83"/>
    <w:rsid w:val="002950F1"/>
    <w:rsid w:val="002A22E0"/>
    <w:rsid w:val="002A2A0F"/>
    <w:rsid w:val="002A6596"/>
    <w:rsid w:val="002A7CD6"/>
    <w:rsid w:val="002C40B6"/>
    <w:rsid w:val="002C4510"/>
    <w:rsid w:val="002C7D73"/>
    <w:rsid w:val="002D5D89"/>
    <w:rsid w:val="002D5E3B"/>
    <w:rsid w:val="002E5670"/>
    <w:rsid w:val="002F2560"/>
    <w:rsid w:val="002F347F"/>
    <w:rsid w:val="003069B1"/>
    <w:rsid w:val="00315952"/>
    <w:rsid w:val="0031674D"/>
    <w:rsid w:val="00316A2A"/>
    <w:rsid w:val="00317566"/>
    <w:rsid w:val="00323415"/>
    <w:rsid w:val="00326A9A"/>
    <w:rsid w:val="0034544F"/>
    <w:rsid w:val="00346102"/>
    <w:rsid w:val="003502ED"/>
    <w:rsid w:val="00350C7B"/>
    <w:rsid w:val="00353C1A"/>
    <w:rsid w:val="00355055"/>
    <w:rsid w:val="0036028E"/>
    <w:rsid w:val="0036183A"/>
    <w:rsid w:val="00361BF1"/>
    <w:rsid w:val="003638A8"/>
    <w:rsid w:val="00365C03"/>
    <w:rsid w:val="00367220"/>
    <w:rsid w:val="003706BD"/>
    <w:rsid w:val="00372D86"/>
    <w:rsid w:val="003778F7"/>
    <w:rsid w:val="003827F9"/>
    <w:rsid w:val="00383BE9"/>
    <w:rsid w:val="0039173A"/>
    <w:rsid w:val="003919C9"/>
    <w:rsid w:val="00394FBE"/>
    <w:rsid w:val="00395108"/>
    <w:rsid w:val="003A097C"/>
    <w:rsid w:val="003A3F33"/>
    <w:rsid w:val="003A7A33"/>
    <w:rsid w:val="003B7D30"/>
    <w:rsid w:val="003C723D"/>
    <w:rsid w:val="003E2F58"/>
    <w:rsid w:val="003E6146"/>
    <w:rsid w:val="003F051E"/>
    <w:rsid w:val="003F33DE"/>
    <w:rsid w:val="003F414F"/>
    <w:rsid w:val="003F61F7"/>
    <w:rsid w:val="003F72B7"/>
    <w:rsid w:val="0040290C"/>
    <w:rsid w:val="0040682E"/>
    <w:rsid w:val="00407B15"/>
    <w:rsid w:val="0041347A"/>
    <w:rsid w:val="00416F24"/>
    <w:rsid w:val="00424EC3"/>
    <w:rsid w:val="00425F70"/>
    <w:rsid w:val="00430344"/>
    <w:rsid w:val="00433F0D"/>
    <w:rsid w:val="00436FDB"/>
    <w:rsid w:val="00440664"/>
    <w:rsid w:val="00447871"/>
    <w:rsid w:val="004557FC"/>
    <w:rsid w:val="004621FB"/>
    <w:rsid w:val="00465B57"/>
    <w:rsid w:val="00471A52"/>
    <w:rsid w:val="004722B2"/>
    <w:rsid w:val="00473117"/>
    <w:rsid w:val="00474A92"/>
    <w:rsid w:val="00476421"/>
    <w:rsid w:val="0047B419"/>
    <w:rsid w:val="00480E78"/>
    <w:rsid w:val="00487E6F"/>
    <w:rsid w:val="004905F0"/>
    <w:rsid w:val="004911F3"/>
    <w:rsid w:val="00492033"/>
    <w:rsid w:val="00494B1C"/>
    <w:rsid w:val="004A34B5"/>
    <w:rsid w:val="004B1216"/>
    <w:rsid w:val="004B5691"/>
    <w:rsid w:val="004C09A3"/>
    <w:rsid w:val="004C2601"/>
    <w:rsid w:val="004C5953"/>
    <w:rsid w:val="004D0263"/>
    <w:rsid w:val="004D2076"/>
    <w:rsid w:val="004E1750"/>
    <w:rsid w:val="004E2210"/>
    <w:rsid w:val="004E26C3"/>
    <w:rsid w:val="004F24FD"/>
    <w:rsid w:val="004F4F30"/>
    <w:rsid w:val="00500275"/>
    <w:rsid w:val="0050032C"/>
    <w:rsid w:val="00505AC7"/>
    <w:rsid w:val="005118B1"/>
    <w:rsid w:val="00516F78"/>
    <w:rsid w:val="00543F6E"/>
    <w:rsid w:val="005466EC"/>
    <w:rsid w:val="00547DF1"/>
    <w:rsid w:val="00550CC4"/>
    <w:rsid w:val="00551D8B"/>
    <w:rsid w:val="00553189"/>
    <w:rsid w:val="005570BE"/>
    <w:rsid w:val="00557D69"/>
    <w:rsid w:val="00557EFA"/>
    <w:rsid w:val="0056140F"/>
    <w:rsid w:val="00562233"/>
    <w:rsid w:val="00562C31"/>
    <w:rsid w:val="00572FF6"/>
    <w:rsid w:val="00590AE0"/>
    <w:rsid w:val="00594CDB"/>
    <w:rsid w:val="005B523E"/>
    <w:rsid w:val="005B6DC8"/>
    <w:rsid w:val="005B7F9F"/>
    <w:rsid w:val="005C5421"/>
    <w:rsid w:val="005C61BE"/>
    <w:rsid w:val="005C6504"/>
    <w:rsid w:val="005D100B"/>
    <w:rsid w:val="005D2A46"/>
    <w:rsid w:val="005E1C8E"/>
    <w:rsid w:val="005F05C3"/>
    <w:rsid w:val="00600565"/>
    <w:rsid w:val="00601CF5"/>
    <w:rsid w:val="0060203A"/>
    <w:rsid w:val="00606A6E"/>
    <w:rsid w:val="0061431E"/>
    <w:rsid w:val="00614735"/>
    <w:rsid w:val="00616B27"/>
    <w:rsid w:val="00623F63"/>
    <w:rsid w:val="00624CE9"/>
    <w:rsid w:val="00627590"/>
    <w:rsid w:val="00636B36"/>
    <w:rsid w:val="0065550D"/>
    <w:rsid w:val="0065650D"/>
    <w:rsid w:val="0066397E"/>
    <w:rsid w:val="00665769"/>
    <w:rsid w:val="006671BC"/>
    <w:rsid w:val="00676066"/>
    <w:rsid w:val="0068458A"/>
    <w:rsid w:val="006856A6"/>
    <w:rsid w:val="00690702"/>
    <w:rsid w:val="00692DBC"/>
    <w:rsid w:val="00693327"/>
    <w:rsid w:val="006945CE"/>
    <w:rsid w:val="00695965"/>
    <w:rsid w:val="00696185"/>
    <w:rsid w:val="006963D4"/>
    <w:rsid w:val="006A3702"/>
    <w:rsid w:val="006A51A7"/>
    <w:rsid w:val="006B0270"/>
    <w:rsid w:val="006B2294"/>
    <w:rsid w:val="006B5C1E"/>
    <w:rsid w:val="006C2579"/>
    <w:rsid w:val="006D239B"/>
    <w:rsid w:val="006D586E"/>
    <w:rsid w:val="006E1610"/>
    <w:rsid w:val="006F1C14"/>
    <w:rsid w:val="006F6E34"/>
    <w:rsid w:val="006F7F42"/>
    <w:rsid w:val="0070583F"/>
    <w:rsid w:val="00723ED2"/>
    <w:rsid w:val="00725C07"/>
    <w:rsid w:val="00734530"/>
    <w:rsid w:val="00737D6C"/>
    <w:rsid w:val="00744F37"/>
    <w:rsid w:val="00753065"/>
    <w:rsid w:val="007573AE"/>
    <w:rsid w:val="00761897"/>
    <w:rsid w:val="00767613"/>
    <w:rsid w:val="007704A8"/>
    <w:rsid w:val="00770710"/>
    <w:rsid w:val="00771A9D"/>
    <w:rsid w:val="00771BB5"/>
    <w:rsid w:val="00774563"/>
    <w:rsid w:val="0078097C"/>
    <w:rsid w:val="00780E69"/>
    <w:rsid w:val="0079191C"/>
    <w:rsid w:val="00794A78"/>
    <w:rsid w:val="0079598F"/>
    <w:rsid w:val="007A6984"/>
    <w:rsid w:val="007A766E"/>
    <w:rsid w:val="007B35C2"/>
    <w:rsid w:val="007C2B1A"/>
    <w:rsid w:val="007C4084"/>
    <w:rsid w:val="007E1247"/>
    <w:rsid w:val="007E1733"/>
    <w:rsid w:val="007E249B"/>
    <w:rsid w:val="007E3183"/>
    <w:rsid w:val="007E6BB5"/>
    <w:rsid w:val="007E7E2C"/>
    <w:rsid w:val="007F4648"/>
    <w:rsid w:val="00800DA7"/>
    <w:rsid w:val="008139C9"/>
    <w:rsid w:val="008160B0"/>
    <w:rsid w:val="0082301B"/>
    <w:rsid w:val="00825153"/>
    <w:rsid w:val="008261C3"/>
    <w:rsid w:val="0083285D"/>
    <w:rsid w:val="00840EA9"/>
    <w:rsid w:val="008411D6"/>
    <w:rsid w:val="008425F6"/>
    <w:rsid w:val="00843820"/>
    <w:rsid w:val="00844EF0"/>
    <w:rsid w:val="00853A1F"/>
    <w:rsid w:val="008633D5"/>
    <w:rsid w:val="00864715"/>
    <w:rsid w:val="00867599"/>
    <w:rsid w:val="008679E2"/>
    <w:rsid w:val="00877D15"/>
    <w:rsid w:val="00880D73"/>
    <w:rsid w:val="0088271F"/>
    <w:rsid w:val="008916D9"/>
    <w:rsid w:val="008A1F2F"/>
    <w:rsid w:val="008A2772"/>
    <w:rsid w:val="008A570B"/>
    <w:rsid w:val="008B22FD"/>
    <w:rsid w:val="008B3671"/>
    <w:rsid w:val="008B6D0B"/>
    <w:rsid w:val="008B76C5"/>
    <w:rsid w:val="008C2598"/>
    <w:rsid w:val="008C35A9"/>
    <w:rsid w:val="008C47DA"/>
    <w:rsid w:val="008D076C"/>
    <w:rsid w:val="008D1663"/>
    <w:rsid w:val="008E03AD"/>
    <w:rsid w:val="008E067E"/>
    <w:rsid w:val="008E091C"/>
    <w:rsid w:val="008E2B03"/>
    <w:rsid w:val="008E3471"/>
    <w:rsid w:val="008E3EE2"/>
    <w:rsid w:val="008E4BE2"/>
    <w:rsid w:val="008E6343"/>
    <w:rsid w:val="008E6FDF"/>
    <w:rsid w:val="008F026A"/>
    <w:rsid w:val="008F1FDF"/>
    <w:rsid w:val="008F32B5"/>
    <w:rsid w:val="008F3C4B"/>
    <w:rsid w:val="008F62DD"/>
    <w:rsid w:val="008F72C0"/>
    <w:rsid w:val="009002A4"/>
    <w:rsid w:val="0091794F"/>
    <w:rsid w:val="009311A4"/>
    <w:rsid w:val="009344D0"/>
    <w:rsid w:val="009424D6"/>
    <w:rsid w:val="00952B38"/>
    <w:rsid w:val="00952F73"/>
    <w:rsid w:val="0095486D"/>
    <w:rsid w:val="00960113"/>
    <w:rsid w:val="009702AD"/>
    <w:rsid w:val="00972252"/>
    <w:rsid w:val="00983BE9"/>
    <w:rsid w:val="00985FA8"/>
    <w:rsid w:val="0099029D"/>
    <w:rsid w:val="00990494"/>
    <w:rsid w:val="009913F8"/>
    <w:rsid w:val="00991F4C"/>
    <w:rsid w:val="00996CF6"/>
    <w:rsid w:val="009A7BC5"/>
    <w:rsid w:val="009B10FD"/>
    <w:rsid w:val="009B6E8C"/>
    <w:rsid w:val="009B7BA3"/>
    <w:rsid w:val="009C0FA9"/>
    <w:rsid w:val="009D142F"/>
    <w:rsid w:val="009D2214"/>
    <w:rsid w:val="009D5355"/>
    <w:rsid w:val="009D69E1"/>
    <w:rsid w:val="009D7038"/>
    <w:rsid w:val="009E2E41"/>
    <w:rsid w:val="009E784E"/>
    <w:rsid w:val="009F787C"/>
    <w:rsid w:val="009F7F4C"/>
    <w:rsid w:val="00A04820"/>
    <w:rsid w:val="00A1355C"/>
    <w:rsid w:val="00A150C6"/>
    <w:rsid w:val="00A244CB"/>
    <w:rsid w:val="00A2785E"/>
    <w:rsid w:val="00A27F04"/>
    <w:rsid w:val="00A31E46"/>
    <w:rsid w:val="00A34B10"/>
    <w:rsid w:val="00A40B46"/>
    <w:rsid w:val="00A41C09"/>
    <w:rsid w:val="00A4389F"/>
    <w:rsid w:val="00A501B2"/>
    <w:rsid w:val="00A515CE"/>
    <w:rsid w:val="00A5779C"/>
    <w:rsid w:val="00A62CAF"/>
    <w:rsid w:val="00A63279"/>
    <w:rsid w:val="00A64772"/>
    <w:rsid w:val="00A670C9"/>
    <w:rsid w:val="00A75388"/>
    <w:rsid w:val="00A77B4E"/>
    <w:rsid w:val="00A80529"/>
    <w:rsid w:val="00A80D4F"/>
    <w:rsid w:val="00A836CE"/>
    <w:rsid w:val="00A845C9"/>
    <w:rsid w:val="00A93594"/>
    <w:rsid w:val="00A941B7"/>
    <w:rsid w:val="00A94497"/>
    <w:rsid w:val="00AA1CD5"/>
    <w:rsid w:val="00AA6B5A"/>
    <w:rsid w:val="00AB3149"/>
    <w:rsid w:val="00AB579A"/>
    <w:rsid w:val="00AB7CE5"/>
    <w:rsid w:val="00AC45E1"/>
    <w:rsid w:val="00AC6BAF"/>
    <w:rsid w:val="00AD06D1"/>
    <w:rsid w:val="00AD163F"/>
    <w:rsid w:val="00AD2E06"/>
    <w:rsid w:val="00AE4589"/>
    <w:rsid w:val="00AE49ED"/>
    <w:rsid w:val="00AF00D8"/>
    <w:rsid w:val="00AF0125"/>
    <w:rsid w:val="00AF361B"/>
    <w:rsid w:val="00B02EA2"/>
    <w:rsid w:val="00B038D1"/>
    <w:rsid w:val="00B04F86"/>
    <w:rsid w:val="00B12194"/>
    <w:rsid w:val="00B14D4C"/>
    <w:rsid w:val="00B17D4B"/>
    <w:rsid w:val="00B2014B"/>
    <w:rsid w:val="00B326BC"/>
    <w:rsid w:val="00B3542E"/>
    <w:rsid w:val="00B360CF"/>
    <w:rsid w:val="00B3724E"/>
    <w:rsid w:val="00B42A4B"/>
    <w:rsid w:val="00B45E2D"/>
    <w:rsid w:val="00B526D7"/>
    <w:rsid w:val="00B530C9"/>
    <w:rsid w:val="00B57CB3"/>
    <w:rsid w:val="00B63908"/>
    <w:rsid w:val="00B7262C"/>
    <w:rsid w:val="00B748E4"/>
    <w:rsid w:val="00B755D7"/>
    <w:rsid w:val="00B85CAA"/>
    <w:rsid w:val="00B91B74"/>
    <w:rsid w:val="00B926A1"/>
    <w:rsid w:val="00B942C8"/>
    <w:rsid w:val="00B94A30"/>
    <w:rsid w:val="00BA151D"/>
    <w:rsid w:val="00BA291A"/>
    <w:rsid w:val="00BA69BF"/>
    <w:rsid w:val="00BB476B"/>
    <w:rsid w:val="00BB4D74"/>
    <w:rsid w:val="00BB5797"/>
    <w:rsid w:val="00BC6A40"/>
    <w:rsid w:val="00BD029D"/>
    <w:rsid w:val="00BD0BFA"/>
    <w:rsid w:val="00BE0E21"/>
    <w:rsid w:val="00BF4E15"/>
    <w:rsid w:val="00C05FC4"/>
    <w:rsid w:val="00C11035"/>
    <w:rsid w:val="00C11294"/>
    <w:rsid w:val="00C12FC9"/>
    <w:rsid w:val="00C22654"/>
    <w:rsid w:val="00C22E9A"/>
    <w:rsid w:val="00C23CD3"/>
    <w:rsid w:val="00C2757A"/>
    <w:rsid w:val="00C327E2"/>
    <w:rsid w:val="00C36A87"/>
    <w:rsid w:val="00C44B9C"/>
    <w:rsid w:val="00C4735B"/>
    <w:rsid w:val="00C54326"/>
    <w:rsid w:val="00C6740B"/>
    <w:rsid w:val="00C722C6"/>
    <w:rsid w:val="00C75FC3"/>
    <w:rsid w:val="00C7794B"/>
    <w:rsid w:val="00C81F8D"/>
    <w:rsid w:val="00C830CD"/>
    <w:rsid w:val="00C90695"/>
    <w:rsid w:val="00C9637D"/>
    <w:rsid w:val="00CA2E72"/>
    <w:rsid w:val="00CA7671"/>
    <w:rsid w:val="00CB1F08"/>
    <w:rsid w:val="00CC04EB"/>
    <w:rsid w:val="00CC6BB9"/>
    <w:rsid w:val="00CC6E6B"/>
    <w:rsid w:val="00CE4F5E"/>
    <w:rsid w:val="00CE637C"/>
    <w:rsid w:val="00CF4910"/>
    <w:rsid w:val="00CF7741"/>
    <w:rsid w:val="00CF7CDD"/>
    <w:rsid w:val="00CF7D9D"/>
    <w:rsid w:val="00D04FC4"/>
    <w:rsid w:val="00D15A1C"/>
    <w:rsid w:val="00D17ED4"/>
    <w:rsid w:val="00D21799"/>
    <w:rsid w:val="00D51CC5"/>
    <w:rsid w:val="00D5531B"/>
    <w:rsid w:val="00D55C5C"/>
    <w:rsid w:val="00D57A67"/>
    <w:rsid w:val="00D60542"/>
    <w:rsid w:val="00D742EB"/>
    <w:rsid w:val="00D74619"/>
    <w:rsid w:val="00D76629"/>
    <w:rsid w:val="00D8560F"/>
    <w:rsid w:val="00D90F8E"/>
    <w:rsid w:val="00D9778F"/>
    <w:rsid w:val="00DA094C"/>
    <w:rsid w:val="00DA3B5D"/>
    <w:rsid w:val="00DA5EC7"/>
    <w:rsid w:val="00DA69FA"/>
    <w:rsid w:val="00DB1F11"/>
    <w:rsid w:val="00DC30D4"/>
    <w:rsid w:val="00DC58CD"/>
    <w:rsid w:val="00DC6C61"/>
    <w:rsid w:val="00DD18EA"/>
    <w:rsid w:val="00DD32D7"/>
    <w:rsid w:val="00DD3D4E"/>
    <w:rsid w:val="00DD75EC"/>
    <w:rsid w:val="00DE2E2D"/>
    <w:rsid w:val="00DE4FFB"/>
    <w:rsid w:val="00DE7FB5"/>
    <w:rsid w:val="00DF169A"/>
    <w:rsid w:val="00E0642F"/>
    <w:rsid w:val="00E069E2"/>
    <w:rsid w:val="00E06A92"/>
    <w:rsid w:val="00E12F9D"/>
    <w:rsid w:val="00E13247"/>
    <w:rsid w:val="00E145DE"/>
    <w:rsid w:val="00E253EB"/>
    <w:rsid w:val="00E31722"/>
    <w:rsid w:val="00E320BE"/>
    <w:rsid w:val="00E37D44"/>
    <w:rsid w:val="00E445EB"/>
    <w:rsid w:val="00E475D2"/>
    <w:rsid w:val="00E549C4"/>
    <w:rsid w:val="00E55CA5"/>
    <w:rsid w:val="00E627F3"/>
    <w:rsid w:val="00E63363"/>
    <w:rsid w:val="00E6446B"/>
    <w:rsid w:val="00E71569"/>
    <w:rsid w:val="00E730CE"/>
    <w:rsid w:val="00E73EB9"/>
    <w:rsid w:val="00E83260"/>
    <w:rsid w:val="00E840C0"/>
    <w:rsid w:val="00E85420"/>
    <w:rsid w:val="00E86F42"/>
    <w:rsid w:val="00E91D54"/>
    <w:rsid w:val="00E9445E"/>
    <w:rsid w:val="00E96E5A"/>
    <w:rsid w:val="00EA1EE3"/>
    <w:rsid w:val="00EA3408"/>
    <w:rsid w:val="00EB2606"/>
    <w:rsid w:val="00EB4472"/>
    <w:rsid w:val="00EB5E31"/>
    <w:rsid w:val="00EB61ED"/>
    <w:rsid w:val="00EC0085"/>
    <w:rsid w:val="00EC378C"/>
    <w:rsid w:val="00EC68B9"/>
    <w:rsid w:val="00EC7B8F"/>
    <w:rsid w:val="00EE5C85"/>
    <w:rsid w:val="00EE76C5"/>
    <w:rsid w:val="00EF0336"/>
    <w:rsid w:val="00EF55BA"/>
    <w:rsid w:val="00F002C9"/>
    <w:rsid w:val="00F0171B"/>
    <w:rsid w:val="00F04697"/>
    <w:rsid w:val="00F05983"/>
    <w:rsid w:val="00F06115"/>
    <w:rsid w:val="00F13108"/>
    <w:rsid w:val="00F200C8"/>
    <w:rsid w:val="00F22EF7"/>
    <w:rsid w:val="00F23687"/>
    <w:rsid w:val="00F26610"/>
    <w:rsid w:val="00F327D9"/>
    <w:rsid w:val="00F3332C"/>
    <w:rsid w:val="00F33B77"/>
    <w:rsid w:val="00F37633"/>
    <w:rsid w:val="00F548C6"/>
    <w:rsid w:val="00F61BB0"/>
    <w:rsid w:val="00F620A5"/>
    <w:rsid w:val="00F725BB"/>
    <w:rsid w:val="00F75B18"/>
    <w:rsid w:val="00F75E12"/>
    <w:rsid w:val="00F81AAE"/>
    <w:rsid w:val="00F91207"/>
    <w:rsid w:val="00FA4302"/>
    <w:rsid w:val="00FB33E4"/>
    <w:rsid w:val="00FB7E91"/>
    <w:rsid w:val="00FC7795"/>
    <w:rsid w:val="00FD0DCE"/>
    <w:rsid w:val="00FD75D7"/>
    <w:rsid w:val="00FD7C0D"/>
    <w:rsid w:val="00FE08AC"/>
    <w:rsid w:val="00FE112A"/>
    <w:rsid w:val="00FE2457"/>
    <w:rsid w:val="00FE40E9"/>
    <w:rsid w:val="00FE4536"/>
    <w:rsid w:val="00FE4E30"/>
    <w:rsid w:val="00FF0102"/>
    <w:rsid w:val="00FF71BB"/>
    <w:rsid w:val="0100ADE2"/>
    <w:rsid w:val="012097BD"/>
    <w:rsid w:val="01D99AB8"/>
    <w:rsid w:val="022576BD"/>
    <w:rsid w:val="02601ABE"/>
    <w:rsid w:val="02A58393"/>
    <w:rsid w:val="0316874A"/>
    <w:rsid w:val="034AAF71"/>
    <w:rsid w:val="0360808E"/>
    <w:rsid w:val="03AB8CB1"/>
    <w:rsid w:val="0449417A"/>
    <w:rsid w:val="0532C471"/>
    <w:rsid w:val="0597EDFB"/>
    <w:rsid w:val="05E511DB"/>
    <w:rsid w:val="05FDFBE0"/>
    <w:rsid w:val="0645BACE"/>
    <w:rsid w:val="07251A34"/>
    <w:rsid w:val="076FEF66"/>
    <w:rsid w:val="0771D74B"/>
    <w:rsid w:val="07E9AF9F"/>
    <w:rsid w:val="08333547"/>
    <w:rsid w:val="087BEAEE"/>
    <w:rsid w:val="08ADE09E"/>
    <w:rsid w:val="08E83B27"/>
    <w:rsid w:val="090BBFC7"/>
    <w:rsid w:val="091F1F32"/>
    <w:rsid w:val="09256674"/>
    <w:rsid w:val="09525403"/>
    <w:rsid w:val="0A8F1093"/>
    <w:rsid w:val="0AB882FE"/>
    <w:rsid w:val="0AC136D5"/>
    <w:rsid w:val="0AFF47F0"/>
    <w:rsid w:val="0B8B300E"/>
    <w:rsid w:val="0C1DBA2B"/>
    <w:rsid w:val="0C353930"/>
    <w:rsid w:val="0C3CC2B6"/>
    <w:rsid w:val="0C8E2646"/>
    <w:rsid w:val="0CE08512"/>
    <w:rsid w:val="0D61471B"/>
    <w:rsid w:val="0D9F99D5"/>
    <w:rsid w:val="0DC6088D"/>
    <w:rsid w:val="0DF023C0"/>
    <w:rsid w:val="0E056926"/>
    <w:rsid w:val="0E0BDEF5"/>
    <w:rsid w:val="0E462D2C"/>
    <w:rsid w:val="0E7514B4"/>
    <w:rsid w:val="0EBA2090"/>
    <w:rsid w:val="0EEB2C72"/>
    <w:rsid w:val="0F26DBF9"/>
    <w:rsid w:val="0F4FB3F3"/>
    <w:rsid w:val="0F50286C"/>
    <w:rsid w:val="0F583E89"/>
    <w:rsid w:val="0F7C50FE"/>
    <w:rsid w:val="0FC5C708"/>
    <w:rsid w:val="102CE26F"/>
    <w:rsid w:val="10700A1D"/>
    <w:rsid w:val="1083DC20"/>
    <w:rsid w:val="1086FCD3"/>
    <w:rsid w:val="109E4BF4"/>
    <w:rsid w:val="10CBCF26"/>
    <w:rsid w:val="10CF5C1A"/>
    <w:rsid w:val="1118215F"/>
    <w:rsid w:val="112D687C"/>
    <w:rsid w:val="11437FB7"/>
    <w:rsid w:val="119B9A0B"/>
    <w:rsid w:val="11E14317"/>
    <w:rsid w:val="1229DFC9"/>
    <w:rsid w:val="126B2C7B"/>
    <w:rsid w:val="126CDF74"/>
    <w:rsid w:val="12777FFA"/>
    <w:rsid w:val="12A53AFF"/>
    <w:rsid w:val="12C394E3"/>
    <w:rsid w:val="12EE0CE7"/>
    <w:rsid w:val="132D76E0"/>
    <w:rsid w:val="13467B40"/>
    <w:rsid w:val="135ABC49"/>
    <w:rsid w:val="13952AFB"/>
    <w:rsid w:val="13EBD6ED"/>
    <w:rsid w:val="140DC60A"/>
    <w:rsid w:val="141B32E7"/>
    <w:rsid w:val="1447D49B"/>
    <w:rsid w:val="146DF6D3"/>
    <w:rsid w:val="14B80C9D"/>
    <w:rsid w:val="14E6C223"/>
    <w:rsid w:val="14F027EA"/>
    <w:rsid w:val="14FACAAF"/>
    <w:rsid w:val="15197BEF"/>
    <w:rsid w:val="1556D9AB"/>
    <w:rsid w:val="157C926E"/>
    <w:rsid w:val="15A9966B"/>
    <w:rsid w:val="167C6539"/>
    <w:rsid w:val="16E22654"/>
    <w:rsid w:val="174566CC"/>
    <w:rsid w:val="17D0D8ED"/>
    <w:rsid w:val="1802CE9D"/>
    <w:rsid w:val="1818359A"/>
    <w:rsid w:val="18773D4A"/>
    <w:rsid w:val="1890762D"/>
    <w:rsid w:val="18C8770A"/>
    <w:rsid w:val="18CD5B8D"/>
    <w:rsid w:val="196CA94E"/>
    <w:rsid w:val="197C1E5E"/>
    <w:rsid w:val="1A0D70FD"/>
    <w:rsid w:val="1A6BBDDC"/>
    <w:rsid w:val="1AEA61FD"/>
    <w:rsid w:val="1B0879AF"/>
    <w:rsid w:val="1B0B26CC"/>
    <w:rsid w:val="1B2623B7"/>
    <w:rsid w:val="1B58BF59"/>
    <w:rsid w:val="1BB515B7"/>
    <w:rsid w:val="1BBCA4D2"/>
    <w:rsid w:val="1CC3B75D"/>
    <w:rsid w:val="1CC4D50E"/>
    <w:rsid w:val="1D210DC9"/>
    <w:rsid w:val="1D904086"/>
    <w:rsid w:val="1DC9CE9B"/>
    <w:rsid w:val="1E401A71"/>
    <w:rsid w:val="1F49AF83"/>
    <w:rsid w:val="22D9B8AD"/>
    <w:rsid w:val="23686D8C"/>
    <w:rsid w:val="2473E3BC"/>
    <w:rsid w:val="24BAB55C"/>
    <w:rsid w:val="250D64DE"/>
    <w:rsid w:val="25452F55"/>
    <w:rsid w:val="2579F9F8"/>
    <w:rsid w:val="25962A8C"/>
    <w:rsid w:val="262A8D11"/>
    <w:rsid w:val="262EE5AC"/>
    <w:rsid w:val="2676906E"/>
    <w:rsid w:val="26A08619"/>
    <w:rsid w:val="279209A1"/>
    <w:rsid w:val="27AA5BB9"/>
    <w:rsid w:val="27B73E5E"/>
    <w:rsid w:val="27D0D28B"/>
    <w:rsid w:val="27DCD3AE"/>
    <w:rsid w:val="282A7891"/>
    <w:rsid w:val="284C6029"/>
    <w:rsid w:val="296C50E3"/>
    <w:rsid w:val="29834ECB"/>
    <w:rsid w:val="29D1B0ED"/>
    <w:rsid w:val="29F1D605"/>
    <w:rsid w:val="2A1939CD"/>
    <w:rsid w:val="2A238728"/>
    <w:rsid w:val="2A2394C7"/>
    <w:rsid w:val="2AF2FBAE"/>
    <w:rsid w:val="2B08734D"/>
    <w:rsid w:val="2B788ECE"/>
    <w:rsid w:val="2C4579AD"/>
    <w:rsid w:val="2C605376"/>
    <w:rsid w:val="2C677296"/>
    <w:rsid w:val="2C70F7D0"/>
    <w:rsid w:val="2C778389"/>
    <w:rsid w:val="2D0D814B"/>
    <w:rsid w:val="2DB7E6C5"/>
    <w:rsid w:val="2DBC2A6E"/>
    <w:rsid w:val="2DD2B9A0"/>
    <w:rsid w:val="2E0428B9"/>
    <w:rsid w:val="2E40140F"/>
    <w:rsid w:val="2E65057E"/>
    <w:rsid w:val="2E76F914"/>
    <w:rsid w:val="2EA951AC"/>
    <w:rsid w:val="2EC54728"/>
    <w:rsid w:val="2ECE3A6A"/>
    <w:rsid w:val="2F632DA1"/>
    <w:rsid w:val="2F67C0D3"/>
    <w:rsid w:val="2FE3AF43"/>
    <w:rsid w:val="2FFF85F0"/>
    <w:rsid w:val="30225F46"/>
    <w:rsid w:val="3039AE15"/>
    <w:rsid w:val="3057089B"/>
    <w:rsid w:val="3058749E"/>
    <w:rsid w:val="3079ADEE"/>
    <w:rsid w:val="30A0AC8B"/>
    <w:rsid w:val="30D26311"/>
    <w:rsid w:val="31039134"/>
    <w:rsid w:val="313CC859"/>
    <w:rsid w:val="316D70E1"/>
    <w:rsid w:val="31AE99D6"/>
    <w:rsid w:val="31FCE7EA"/>
    <w:rsid w:val="31FD8EAF"/>
    <w:rsid w:val="3259E7CB"/>
    <w:rsid w:val="330C8E75"/>
    <w:rsid w:val="3331CCFB"/>
    <w:rsid w:val="334A6A37"/>
    <w:rsid w:val="334BD3D6"/>
    <w:rsid w:val="335DF59C"/>
    <w:rsid w:val="33668283"/>
    <w:rsid w:val="33A8AA5A"/>
    <w:rsid w:val="33B14EB0"/>
    <w:rsid w:val="33C15D51"/>
    <w:rsid w:val="33DB2504"/>
    <w:rsid w:val="346B655B"/>
    <w:rsid w:val="3566476E"/>
    <w:rsid w:val="35A01A55"/>
    <w:rsid w:val="35B4F2F6"/>
    <w:rsid w:val="35CF7994"/>
    <w:rsid w:val="35D121E5"/>
    <w:rsid w:val="360236BA"/>
    <w:rsid w:val="364A9476"/>
    <w:rsid w:val="36820AF9"/>
    <w:rsid w:val="3691A0CA"/>
    <w:rsid w:val="36CC4CEB"/>
    <w:rsid w:val="36D0590D"/>
    <w:rsid w:val="378E6292"/>
    <w:rsid w:val="37E44B8C"/>
    <w:rsid w:val="381D6B08"/>
    <w:rsid w:val="381F44F9"/>
    <w:rsid w:val="384EE33D"/>
    <w:rsid w:val="394D0E43"/>
    <w:rsid w:val="396E8BEF"/>
    <w:rsid w:val="39A75CB4"/>
    <w:rsid w:val="39B3FC9C"/>
    <w:rsid w:val="39BB155A"/>
    <w:rsid w:val="3A10ED11"/>
    <w:rsid w:val="3A209034"/>
    <w:rsid w:val="3AAE27C6"/>
    <w:rsid w:val="3B56E5BB"/>
    <w:rsid w:val="3B7FA8D6"/>
    <w:rsid w:val="3BACBD72"/>
    <w:rsid w:val="3BBB8BB4"/>
    <w:rsid w:val="3BEF8B32"/>
    <w:rsid w:val="3BF3C916"/>
    <w:rsid w:val="3C17495F"/>
    <w:rsid w:val="3C241DB8"/>
    <w:rsid w:val="3C6A3239"/>
    <w:rsid w:val="3CAEEE1D"/>
    <w:rsid w:val="3CF7D048"/>
    <w:rsid w:val="3D1468F7"/>
    <w:rsid w:val="3D20DE71"/>
    <w:rsid w:val="3D8D0327"/>
    <w:rsid w:val="3EE45E34"/>
    <w:rsid w:val="3EEAFC07"/>
    <w:rsid w:val="3EFD8691"/>
    <w:rsid w:val="3F0D29B4"/>
    <w:rsid w:val="401A9300"/>
    <w:rsid w:val="4028ED3F"/>
    <w:rsid w:val="402A56DE"/>
    <w:rsid w:val="40802E95"/>
    <w:rsid w:val="4120A0AE"/>
    <w:rsid w:val="41BB0C6C"/>
    <w:rsid w:val="423B3155"/>
    <w:rsid w:val="42800B75"/>
    <w:rsid w:val="42BAF01B"/>
    <w:rsid w:val="42C9BECF"/>
    <w:rsid w:val="42F03600"/>
    <w:rsid w:val="432A2A83"/>
    <w:rsid w:val="43CD4D9F"/>
    <w:rsid w:val="43CD5E97"/>
    <w:rsid w:val="441044B5"/>
    <w:rsid w:val="44124D86"/>
    <w:rsid w:val="4505B587"/>
    <w:rsid w:val="458399A8"/>
    <w:rsid w:val="45A013F3"/>
    <w:rsid w:val="45B7AC37"/>
    <w:rsid w:val="4609BCDD"/>
    <w:rsid w:val="46A185E8"/>
    <w:rsid w:val="46DC7313"/>
    <w:rsid w:val="4754968D"/>
    <w:rsid w:val="47825F2A"/>
    <w:rsid w:val="4800AC6F"/>
    <w:rsid w:val="4807B187"/>
    <w:rsid w:val="484F9717"/>
    <w:rsid w:val="486A5A46"/>
    <w:rsid w:val="48AC2423"/>
    <w:rsid w:val="48F337C7"/>
    <w:rsid w:val="495D4B35"/>
    <w:rsid w:val="498E5015"/>
    <w:rsid w:val="4993E883"/>
    <w:rsid w:val="49CFCF85"/>
    <w:rsid w:val="49ED024A"/>
    <w:rsid w:val="4A50AAC1"/>
    <w:rsid w:val="4A91CCDF"/>
    <w:rsid w:val="4AB9FFEC"/>
    <w:rsid w:val="4B3B184E"/>
    <w:rsid w:val="4B74F70B"/>
    <w:rsid w:val="4B88D2AB"/>
    <w:rsid w:val="4BD78639"/>
    <w:rsid w:val="4C430BCD"/>
    <w:rsid w:val="4C55D04D"/>
    <w:rsid w:val="4C948890"/>
    <w:rsid w:val="4CC673F9"/>
    <w:rsid w:val="4CD72DE9"/>
    <w:rsid w:val="4D1A4192"/>
    <w:rsid w:val="4D2F69B6"/>
    <w:rsid w:val="4D825B88"/>
    <w:rsid w:val="4D9DFE9E"/>
    <w:rsid w:val="4DB0152D"/>
    <w:rsid w:val="4DC00B3B"/>
    <w:rsid w:val="4DE20ADD"/>
    <w:rsid w:val="4F06E283"/>
    <w:rsid w:val="4F22C09E"/>
    <w:rsid w:val="4F5F63B3"/>
    <w:rsid w:val="4F70B457"/>
    <w:rsid w:val="4F89492B"/>
    <w:rsid w:val="4FB300F5"/>
    <w:rsid w:val="4FF4E679"/>
    <w:rsid w:val="500EEE18"/>
    <w:rsid w:val="502257C4"/>
    <w:rsid w:val="506EA2FD"/>
    <w:rsid w:val="50764139"/>
    <w:rsid w:val="50CEC4FA"/>
    <w:rsid w:val="50CEC52C"/>
    <w:rsid w:val="50DD125A"/>
    <w:rsid w:val="5168F5F5"/>
    <w:rsid w:val="5192C18E"/>
    <w:rsid w:val="5199D8D1"/>
    <w:rsid w:val="51A4E8A1"/>
    <w:rsid w:val="51B6CAD3"/>
    <w:rsid w:val="530B73D4"/>
    <w:rsid w:val="5321151E"/>
    <w:rsid w:val="533E8998"/>
    <w:rsid w:val="538008F0"/>
    <w:rsid w:val="53A99FDB"/>
    <w:rsid w:val="53BFA14B"/>
    <w:rsid w:val="53E583CA"/>
    <w:rsid w:val="541C9D03"/>
    <w:rsid w:val="54494366"/>
    <w:rsid w:val="544D2540"/>
    <w:rsid w:val="54C01E60"/>
    <w:rsid w:val="5525ED9F"/>
    <w:rsid w:val="564AFBEB"/>
    <w:rsid w:val="56B8DF1D"/>
    <w:rsid w:val="56C4BC24"/>
    <w:rsid w:val="57769A02"/>
    <w:rsid w:val="5778AD81"/>
    <w:rsid w:val="5796E632"/>
    <w:rsid w:val="579F6521"/>
    <w:rsid w:val="58047D94"/>
    <w:rsid w:val="580EA9A9"/>
    <w:rsid w:val="5819FFFD"/>
    <w:rsid w:val="581AAA4D"/>
    <w:rsid w:val="5842CCE0"/>
    <w:rsid w:val="586A98EA"/>
    <w:rsid w:val="5880A092"/>
    <w:rsid w:val="58984894"/>
    <w:rsid w:val="58FC70A4"/>
    <w:rsid w:val="593B7CDE"/>
    <w:rsid w:val="59524839"/>
    <w:rsid w:val="5954C1FB"/>
    <w:rsid w:val="59675ED9"/>
    <w:rsid w:val="5995FC18"/>
    <w:rsid w:val="59F6EF7A"/>
    <w:rsid w:val="5AD8113C"/>
    <w:rsid w:val="5B38E51E"/>
    <w:rsid w:val="5B5BB52D"/>
    <w:rsid w:val="5C0D3EBD"/>
    <w:rsid w:val="5C23B145"/>
    <w:rsid w:val="5C6EB3CC"/>
    <w:rsid w:val="5D05032C"/>
    <w:rsid w:val="5D8C6610"/>
    <w:rsid w:val="5DBDC865"/>
    <w:rsid w:val="5E11EACA"/>
    <w:rsid w:val="5E335993"/>
    <w:rsid w:val="5E575D83"/>
    <w:rsid w:val="600C9DED"/>
    <w:rsid w:val="604F9BB6"/>
    <w:rsid w:val="606A20C1"/>
    <w:rsid w:val="608AAEF6"/>
    <w:rsid w:val="61318296"/>
    <w:rsid w:val="6163F520"/>
    <w:rsid w:val="620FD848"/>
    <w:rsid w:val="62193CA5"/>
    <w:rsid w:val="62E32321"/>
    <w:rsid w:val="62E8BEBC"/>
    <w:rsid w:val="631064AB"/>
    <w:rsid w:val="63480946"/>
    <w:rsid w:val="63D0FD82"/>
    <w:rsid w:val="63EC0471"/>
    <w:rsid w:val="64507597"/>
    <w:rsid w:val="645DED3F"/>
    <w:rsid w:val="6465CB25"/>
    <w:rsid w:val="6467702B"/>
    <w:rsid w:val="64C66FE9"/>
    <w:rsid w:val="64C69F07"/>
    <w:rsid w:val="651FCCAF"/>
    <w:rsid w:val="6575942E"/>
    <w:rsid w:val="65D00F16"/>
    <w:rsid w:val="6636EED2"/>
    <w:rsid w:val="66465EF9"/>
    <w:rsid w:val="6672128B"/>
    <w:rsid w:val="667AC4CB"/>
    <w:rsid w:val="667B97C5"/>
    <w:rsid w:val="6739F706"/>
    <w:rsid w:val="67724F15"/>
    <w:rsid w:val="6785A7DF"/>
    <w:rsid w:val="679E0E3F"/>
    <w:rsid w:val="67B67A8C"/>
    <w:rsid w:val="68027412"/>
    <w:rsid w:val="68936CEB"/>
    <w:rsid w:val="68EAC13E"/>
    <w:rsid w:val="693FDDE6"/>
    <w:rsid w:val="69707C5F"/>
    <w:rsid w:val="69B78895"/>
    <w:rsid w:val="69C5B110"/>
    <w:rsid w:val="6A16B850"/>
    <w:rsid w:val="6A17A9AD"/>
    <w:rsid w:val="6A274E33"/>
    <w:rsid w:val="6A838495"/>
    <w:rsid w:val="6ACBF640"/>
    <w:rsid w:val="6ADE9F35"/>
    <w:rsid w:val="6B35E08B"/>
    <w:rsid w:val="6B3A6141"/>
    <w:rsid w:val="6B4F08E8"/>
    <w:rsid w:val="6B5E89A7"/>
    <w:rsid w:val="6B753AD7"/>
    <w:rsid w:val="6BD652A4"/>
    <w:rsid w:val="6BE1B832"/>
    <w:rsid w:val="6BE83926"/>
    <w:rsid w:val="6C0FE727"/>
    <w:rsid w:val="6C425F1F"/>
    <w:rsid w:val="6C996ED1"/>
    <w:rsid w:val="6CB00F6D"/>
    <w:rsid w:val="6CC050FA"/>
    <w:rsid w:val="6D32F24E"/>
    <w:rsid w:val="6D44DC7F"/>
    <w:rsid w:val="6D6E3CF1"/>
    <w:rsid w:val="6DD593A6"/>
    <w:rsid w:val="6DDE2F80"/>
    <w:rsid w:val="6DFE8139"/>
    <w:rsid w:val="6E0C8EC3"/>
    <w:rsid w:val="6E1D10F0"/>
    <w:rsid w:val="6E31C49C"/>
    <w:rsid w:val="6E8DC5CD"/>
    <w:rsid w:val="6F53BAD3"/>
    <w:rsid w:val="6F6AD00B"/>
    <w:rsid w:val="700951AE"/>
    <w:rsid w:val="705AB53E"/>
    <w:rsid w:val="7084BD68"/>
    <w:rsid w:val="708CAAEE"/>
    <w:rsid w:val="70A6CC7B"/>
    <w:rsid w:val="70D3468D"/>
    <w:rsid w:val="70D8FD14"/>
    <w:rsid w:val="70F4A321"/>
    <w:rsid w:val="714DE0B9"/>
    <w:rsid w:val="71ABBFE2"/>
    <w:rsid w:val="71C7DA66"/>
    <w:rsid w:val="71D70498"/>
    <w:rsid w:val="71EE9819"/>
    <w:rsid w:val="7260189E"/>
    <w:rsid w:val="7268D0E4"/>
    <w:rsid w:val="72B1A0A3"/>
    <w:rsid w:val="72BBD81D"/>
    <w:rsid w:val="72E9B11A"/>
    <w:rsid w:val="738FFADA"/>
    <w:rsid w:val="73C44BB0"/>
    <w:rsid w:val="73C5E8AF"/>
    <w:rsid w:val="74453763"/>
    <w:rsid w:val="744D7104"/>
    <w:rsid w:val="746DFAE3"/>
    <w:rsid w:val="7485817B"/>
    <w:rsid w:val="74DCC2D1"/>
    <w:rsid w:val="75009DBE"/>
    <w:rsid w:val="751DC849"/>
    <w:rsid w:val="752638DB"/>
    <w:rsid w:val="7543D71C"/>
    <w:rsid w:val="7587C07F"/>
    <w:rsid w:val="763E84A1"/>
    <w:rsid w:val="76ABDF10"/>
    <w:rsid w:val="76C2093C"/>
    <w:rsid w:val="76D00F8A"/>
    <w:rsid w:val="76FAD12A"/>
    <w:rsid w:val="772390E0"/>
    <w:rsid w:val="7853B094"/>
    <w:rsid w:val="78CCE28A"/>
    <w:rsid w:val="78E67FDC"/>
    <w:rsid w:val="78EEFE29"/>
    <w:rsid w:val="7917C9A9"/>
    <w:rsid w:val="79ACD053"/>
    <w:rsid w:val="79B033F4"/>
    <w:rsid w:val="79CBBA14"/>
    <w:rsid w:val="7A019784"/>
    <w:rsid w:val="7A2B9FAE"/>
    <w:rsid w:val="7B0B2C96"/>
    <w:rsid w:val="7B0F176A"/>
    <w:rsid w:val="7B7F5033"/>
    <w:rsid w:val="7B933CD1"/>
    <w:rsid w:val="7BD15E71"/>
    <w:rsid w:val="7C6033A8"/>
    <w:rsid w:val="7C61A70B"/>
    <w:rsid w:val="7C7AA308"/>
    <w:rsid w:val="7CA3EA6A"/>
    <w:rsid w:val="7D2E2A0D"/>
    <w:rsid w:val="7D314AC0"/>
    <w:rsid w:val="7D393846"/>
    <w:rsid w:val="7D4CB390"/>
    <w:rsid w:val="7D520599"/>
    <w:rsid w:val="7DBCA47D"/>
    <w:rsid w:val="7E52EB16"/>
    <w:rsid w:val="7E971A90"/>
    <w:rsid w:val="7EBA83FE"/>
    <w:rsid w:val="7EBF7831"/>
    <w:rsid w:val="7EC2F218"/>
    <w:rsid w:val="7ECD1B21"/>
    <w:rsid w:val="7F3C240E"/>
    <w:rsid w:val="7F981131"/>
    <w:rsid w:val="7FB25A6A"/>
    <w:rsid w:val="7FB5A437"/>
    <w:rsid w:val="7FDE9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3A83E96E"/>
  <w15:chartTrackingRefBased/>
  <w15:docId w15:val="{CFD9E36F-B563-44BA-BF44-84307F3E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2C8"/>
  </w:style>
  <w:style w:type="paragraph" w:styleId="Heading1">
    <w:name w:val="heading 1"/>
    <w:basedOn w:val="Normal"/>
    <w:next w:val="Normal"/>
    <w:link w:val="Heading1Char"/>
    <w:uiPriority w:val="9"/>
    <w:qFormat/>
    <w:rsid w:val="00CF4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49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25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58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s,Recommendatio,Dot pt,No Spacing1,List Paragraph Char Char Char,Indicator Text,Numbered Para 1,List Paragraph1,Bullet 1,Bullet Points,MAIN CONTENT,F5 List Paragraph,List Paragraph2,List Paragraph12,Colorful List - Accent 11"/>
    <w:basedOn w:val="Normal"/>
    <w:link w:val="ListParagraphChar"/>
    <w:uiPriority w:val="34"/>
    <w:qFormat/>
    <w:rsid w:val="009344D0"/>
    <w:pPr>
      <w:ind w:left="720"/>
      <w:contextualSpacing/>
    </w:pPr>
  </w:style>
  <w:style w:type="character" w:customStyle="1" w:styleId="Heading1Char">
    <w:name w:val="Heading 1 Char"/>
    <w:basedOn w:val="DefaultParagraphFont"/>
    <w:link w:val="Heading1"/>
    <w:uiPriority w:val="9"/>
    <w:rsid w:val="00CF49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491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D2A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A46"/>
    <w:rPr>
      <w:rFonts w:asciiTheme="majorHAnsi" w:eastAsiaTheme="majorEastAsia" w:hAnsiTheme="majorHAnsi" w:cstheme="majorBidi"/>
      <w:spacing w:val="-10"/>
      <w:kern w:val="28"/>
      <w:sz w:val="56"/>
      <w:szCs w:val="56"/>
    </w:rPr>
  </w:style>
  <w:style w:type="character" w:customStyle="1" w:styleId="ListParagraphChar">
    <w:name w:val="List Paragraph Char"/>
    <w:aliases w:val="Numbered Paras Char,Recommendatio Char,Dot pt Char,No Spacing1 Char,List Paragraph Char Char Char Char,Indicator Text Char,Numbered Para 1 Char,List Paragraph1 Char,Bullet 1 Char,Bullet Points Char,MAIN CONTENT Char"/>
    <w:link w:val="ListParagraph"/>
    <w:uiPriority w:val="34"/>
    <w:qFormat/>
    <w:locked/>
    <w:rsid w:val="00DD18EA"/>
  </w:style>
  <w:style w:type="paragraph" w:customStyle="1" w:styleId="Default">
    <w:name w:val="Default"/>
    <w:rsid w:val="00DD18E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DD18EA"/>
    <w:pPr>
      <w:tabs>
        <w:tab w:val="left" w:pos="720"/>
        <w:tab w:val="left" w:pos="1440"/>
        <w:tab w:val="left" w:pos="2160"/>
        <w:tab w:val="left" w:pos="2880"/>
        <w:tab w:val="left" w:pos="4680"/>
        <w:tab w:val="left" w:pos="5400"/>
        <w:tab w:val="right" w:pos="9000"/>
      </w:tabs>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3EB"/>
  </w:style>
  <w:style w:type="paragraph" w:styleId="Footer">
    <w:name w:val="footer"/>
    <w:basedOn w:val="Normal"/>
    <w:link w:val="FooterChar"/>
    <w:uiPriority w:val="99"/>
    <w:unhideWhenUsed/>
    <w:rsid w:val="00E25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3EB"/>
  </w:style>
  <w:style w:type="character" w:customStyle="1" w:styleId="Heading3Char">
    <w:name w:val="Heading 3 Char"/>
    <w:basedOn w:val="DefaultParagraphFont"/>
    <w:link w:val="Heading3"/>
    <w:uiPriority w:val="9"/>
    <w:rsid w:val="008C259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8C2598"/>
    <w:pPr>
      <w:outlineLvl w:val="9"/>
    </w:pPr>
    <w:rPr>
      <w:lang w:val="en-US"/>
    </w:rPr>
  </w:style>
  <w:style w:type="paragraph" w:styleId="TOC1">
    <w:name w:val="toc 1"/>
    <w:basedOn w:val="Normal"/>
    <w:next w:val="Normal"/>
    <w:autoRedefine/>
    <w:uiPriority w:val="39"/>
    <w:unhideWhenUsed/>
    <w:rsid w:val="008C2598"/>
    <w:pPr>
      <w:spacing w:after="100"/>
    </w:pPr>
  </w:style>
  <w:style w:type="paragraph" w:styleId="TOC2">
    <w:name w:val="toc 2"/>
    <w:basedOn w:val="Normal"/>
    <w:next w:val="Normal"/>
    <w:autoRedefine/>
    <w:uiPriority w:val="39"/>
    <w:unhideWhenUsed/>
    <w:rsid w:val="008C2598"/>
    <w:pPr>
      <w:spacing w:after="100"/>
      <w:ind w:left="220"/>
    </w:pPr>
  </w:style>
  <w:style w:type="paragraph" w:styleId="TOC3">
    <w:name w:val="toc 3"/>
    <w:basedOn w:val="Normal"/>
    <w:next w:val="Normal"/>
    <w:autoRedefine/>
    <w:uiPriority w:val="39"/>
    <w:unhideWhenUsed/>
    <w:rsid w:val="008C2598"/>
    <w:pPr>
      <w:spacing w:after="100"/>
      <w:ind w:left="440"/>
    </w:pPr>
  </w:style>
  <w:style w:type="character" w:styleId="Hyperlink">
    <w:name w:val="Hyperlink"/>
    <w:basedOn w:val="DefaultParagraphFont"/>
    <w:uiPriority w:val="99"/>
    <w:unhideWhenUsed/>
    <w:rsid w:val="008C2598"/>
    <w:rPr>
      <w:color w:val="0563C1" w:themeColor="hyperlink"/>
      <w:u w:val="single"/>
    </w:rPr>
  </w:style>
  <w:style w:type="character" w:styleId="UnresolvedMention">
    <w:name w:val="Unresolved Mention"/>
    <w:basedOn w:val="DefaultParagraphFont"/>
    <w:uiPriority w:val="99"/>
    <w:semiHidden/>
    <w:unhideWhenUsed/>
    <w:rsid w:val="002950F1"/>
    <w:rPr>
      <w:color w:val="605E5C"/>
      <w:shd w:val="clear" w:color="auto" w:fill="E1DFDD"/>
    </w:rPr>
  </w:style>
  <w:style w:type="character" w:styleId="FollowedHyperlink">
    <w:name w:val="FollowedHyperlink"/>
    <w:basedOn w:val="DefaultParagraphFont"/>
    <w:uiPriority w:val="99"/>
    <w:semiHidden/>
    <w:unhideWhenUsed/>
    <w:rsid w:val="00257731"/>
    <w:rPr>
      <w:color w:val="954F72" w:themeColor="followedHyperlink"/>
      <w:u w:val="single"/>
    </w:rPr>
  </w:style>
  <w:style w:type="character" w:styleId="CommentReference">
    <w:name w:val="annotation reference"/>
    <w:basedOn w:val="DefaultParagraphFont"/>
    <w:uiPriority w:val="99"/>
    <w:semiHidden/>
    <w:unhideWhenUsed/>
    <w:rsid w:val="00A04820"/>
    <w:rPr>
      <w:sz w:val="16"/>
      <w:szCs w:val="16"/>
    </w:rPr>
  </w:style>
  <w:style w:type="paragraph" w:styleId="CommentText">
    <w:name w:val="annotation text"/>
    <w:basedOn w:val="Normal"/>
    <w:link w:val="CommentTextChar"/>
    <w:uiPriority w:val="99"/>
    <w:unhideWhenUsed/>
    <w:rsid w:val="00A04820"/>
    <w:pPr>
      <w:spacing w:line="240" w:lineRule="auto"/>
    </w:pPr>
    <w:rPr>
      <w:sz w:val="20"/>
      <w:szCs w:val="20"/>
    </w:rPr>
  </w:style>
  <w:style w:type="character" w:customStyle="1" w:styleId="CommentTextChar">
    <w:name w:val="Comment Text Char"/>
    <w:basedOn w:val="DefaultParagraphFont"/>
    <w:link w:val="CommentText"/>
    <w:uiPriority w:val="99"/>
    <w:rsid w:val="00A04820"/>
    <w:rPr>
      <w:sz w:val="20"/>
      <w:szCs w:val="20"/>
    </w:rPr>
  </w:style>
  <w:style w:type="paragraph" w:styleId="CommentSubject">
    <w:name w:val="annotation subject"/>
    <w:basedOn w:val="CommentText"/>
    <w:next w:val="CommentText"/>
    <w:link w:val="CommentSubjectChar"/>
    <w:uiPriority w:val="99"/>
    <w:semiHidden/>
    <w:unhideWhenUsed/>
    <w:rsid w:val="00A04820"/>
    <w:rPr>
      <w:b/>
      <w:bCs/>
    </w:rPr>
  </w:style>
  <w:style w:type="character" w:customStyle="1" w:styleId="CommentSubjectChar">
    <w:name w:val="Comment Subject Char"/>
    <w:basedOn w:val="CommentTextChar"/>
    <w:link w:val="CommentSubject"/>
    <w:uiPriority w:val="99"/>
    <w:semiHidden/>
    <w:rsid w:val="00A04820"/>
    <w:rPr>
      <w:b/>
      <w:bCs/>
      <w:sz w:val="20"/>
      <w:szCs w:val="20"/>
    </w:rPr>
  </w:style>
  <w:style w:type="paragraph" w:styleId="BalloonText">
    <w:name w:val="Balloon Text"/>
    <w:basedOn w:val="Normal"/>
    <w:link w:val="BalloonTextChar"/>
    <w:uiPriority w:val="99"/>
    <w:semiHidden/>
    <w:unhideWhenUsed/>
    <w:rsid w:val="00A04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20"/>
    <w:rPr>
      <w:rFonts w:ascii="Segoe UI" w:hAnsi="Segoe UI" w:cs="Segoe UI"/>
      <w:sz w:val="18"/>
      <w:szCs w:val="18"/>
    </w:rPr>
  </w:style>
  <w:style w:type="paragraph" w:customStyle="1" w:styleId="xmsonormal">
    <w:name w:val="x_msonormal"/>
    <w:basedOn w:val="Normal"/>
    <w:rsid w:val="004E2210"/>
    <w:pPr>
      <w:spacing w:after="0" w:line="240" w:lineRule="auto"/>
    </w:pPr>
    <w:rPr>
      <w:rFonts w:ascii="Calibri" w:hAnsi="Calibri" w:cs="Calibri"/>
      <w:lang w:eastAsia="en-GB"/>
    </w:rPr>
  </w:style>
  <w:style w:type="paragraph" w:customStyle="1" w:styleId="directorstitle">
    <w:name w:val="director's title"/>
    <w:basedOn w:val="Normal"/>
    <w:rsid w:val="00E145DE"/>
    <w:pPr>
      <w:spacing w:after="0" w:line="240" w:lineRule="exact"/>
      <w:jc w:val="right"/>
    </w:pPr>
    <w:rPr>
      <w:rFonts w:ascii="Arial" w:hAnsi="Arial" w:cs="Arial"/>
      <w:sz w:val="24"/>
      <w:szCs w:val="24"/>
    </w:rPr>
  </w:style>
  <w:style w:type="character" w:customStyle="1" w:styleId="Heading4Char">
    <w:name w:val="Heading 4 Char"/>
    <w:basedOn w:val="DefaultParagraphFont"/>
    <w:link w:val="Heading4"/>
    <w:uiPriority w:val="9"/>
    <w:rsid w:val="006D586E"/>
    <w:rPr>
      <w:rFonts w:asciiTheme="majorHAnsi" w:eastAsiaTheme="majorEastAsia" w:hAnsiTheme="majorHAnsi" w:cstheme="majorBidi"/>
      <w:i/>
      <w:iCs/>
      <w:color w:val="2F5496" w:themeColor="accent1" w:themeShade="BF"/>
    </w:rPr>
  </w:style>
  <w:style w:type="paragraph" w:customStyle="1" w:styleId="11">
    <w:name w:val="1.1"/>
    <w:basedOn w:val="Normal"/>
    <w:uiPriority w:val="1"/>
    <w:qFormat/>
    <w:rsid w:val="3331CCFB"/>
    <w:pPr>
      <w:numPr>
        <w:ilvl w:val="1"/>
        <w:numId w:val="4"/>
      </w:numPr>
      <w:spacing w:before="120" w:after="120"/>
      <w:ind w:left="709" w:hanging="709"/>
    </w:pPr>
    <w:rPr>
      <w:rFonts w:ascii="Arial" w:eastAsia="Times New Roman" w:hAnsi="Arial" w:cs="Times New Roman"/>
      <w:sz w:val="24"/>
      <w:szCs w:val="24"/>
      <w:lang w:eastAsia="en-GB"/>
    </w:rPr>
  </w:style>
  <w:style w:type="character" w:customStyle="1" w:styleId="contentpasted1">
    <w:name w:val="contentpasted1"/>
    <w:basedOn w:val="DefaultParagraphFont"/>
    <w:rsid w:val="005B7F9F"/>
  </w:style>
  <w:style w:type="paragraph" w:customStyle="1" w:styleId="xmsonormal0">
    <w:name w:val="xmsonormal"/>
    <w:basedOn w:val="Normal"/>
    <w:rsid w:val="005D100B"/>
    <w:pPr>
      <w:spacing w:after="0" w:line="240" w:lineRule="auto"/>
    </w:pPr>
    <w:rPr>
      <w:rFonts w:ascii="Calibri" w:hAnsi="Calibri" w:cs="Calibri"/>
      <w:lang w:eastAsia="en-GB"/>
    </w:rPr>
  </w:style>
  <w:style w:type="character" w:styleId="FootnoteReference">
    <w:name w:val="footnote reference"/>
    <w:basedOn w:val="DefaultParagraphFont"/>
    <w:uiPriority w:val="99"/>
    <w:semiHidden/>
    <w:unhideWhenUsed/>
    <w:rsid w:val="005D100B"/>
  </w:style>
  <w:style w:type="paragraph" w:styleId="Revision">
    <w:name w:val="Revision"/>
    <w:hidden/>
    <w:uiPriority w:val="99"/>
    <w:semiHidden/>
    <w:rsid w:val="003778F7"/>
    <w:pPr>
      <w:spacing w:after="0" w:line="240" w:lineRule="auto"/>
    </w:pPr>
  </w:style>
  <w:style w:type="character" w:styleId="Emphasis">
    <w:name w:val="Emphasis"/>
    <w:basedOn w:val="DefaultParagraphFont"/>
    <w:uiPriority w:val="20"/>
    <w:qFormat/>
    <w:rsid w:val="008B6D0B"/>
    <w:rPr>
      <w:i/>
      <w:iCs/>
    </w:rPr>
  </w:style>
  <w:style w:type="paragraph" w:styleId="TOC4">
    <w:name w:val="toc 4"/>
    <w:basedOn w:val="Normal"/>
    <w:next w:val="Normal"/>
    <w:autoRedefine/>
    <w:uiPriority w:val="39"/>
    <w:unhideWhenUsed/>
    <w:rsid w:val="00292FF0"/>
    <w:pPr>
      <w:spacing w:after="100"/>
      <w:ind w:left="660"/>
    </w:pPr>
  </w:style>
  <w:style w:type="table" w:styleId="GridTable6ColourfulAccent1">
    <w:name w:val="Grid Table 6 Colorful Accent 1"/>
    <w:basedOn w:val="TableNormal"/>
    <w:uiPriority w:val="51"/>
    <w:rsid w:val="00AA1CD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BF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683">
      <w:bodyDiv w:val="1"/>
      <w:marLeft w:val="0"/>
      <w:marRight w:val="0"/>
      <w:marTop w:val="0"/>
      <w:marBottom w:val="0"/>
      <w:divBdr>
        <w:top w:val="none" w:sz="0" w:space="0" w:color="auto"/>
        <w:left w:val="none" w:sz="0" w:space="0" w:color="auto"/>
        <w:bottom w:val="none" w:sz="0" w:space="0" w:color="auto"/>
        <w:right w:val="none" w:sz="0" w:space="0" w:color="auto"/>
      </w:divBdr>
    </w:div>
    <w:div w:id="47145269">
      <w:bodyDiv w:val="1"/>
      <w:marLeft w:val="0"/>
      <w:marRight w:val="0"/>
      <w:marTop w:val="0"/>
      <w:marBottom w:val="0"/>
      <w:divBdr>
        <w:top w:val="none" w:sz="0" w:space="0" w:color="auto"/>
        <w:left w:val="none" w:sz="0" w:space="0" w:color="auto"/>
        <w:bottom w:val="none" w:sz="0" w:space="0" w:color="auto"/>
        <w:right w:val="none" w:sz="0" w:space="0" w:color="auto"/>
      </w:divBdr>
    </w:div>
    <w:div w:id="61488228">
      <w:bodyDiv w:val="1"/>
      <w:marLeft w:val="0"/>
      <w:marRight w:val="0"/>
      <w:marTop w:val="0"/>
      <w:marBottom w:val="0"/>
      <w:divBdr>
        <w:top w:val="none" w:sz="0" w:space="0" w:color="auto"/>
        <w:left w:val="none" w:sz="0" w:space="0" w:color="auto"/>
        <w:bottom w:val="none" w:sz="0" w:space="0" w:color="auto"/>
        <w:right w:val="none" w:sz="0" w:space="0" w:color="auto"/>
      </w:divBdr>
    </w:div>
    <w:div w:id="67774712">
      <w:bodyDiv w:val="1"/>
      <w:marLeft w:val="0"/>
      <w:marRight w:val="0"/>
      <w:marTop w:val="0"/>
      <w:marBottom w:val="0"/>
      <w:divBdr>
        <w:top w:val="none" w:sz="0" w:space="0" w:color="auto"/>
        <w:left w:val="none" w:sz="0" w:space="0" w:color="auto"/>
        <w:bottom w:val="none" w:sz="0" w:space="0" w:color="auto"/>
        <w:right w:val="none" w:sz="0" w:space="0" w:color="auto"/>
      </w:divBdr>
    </w:div>
    <w:div w:id="92019801">
      <w:bodyDiv w:val="1"/>
      <w:marLeft w:val="0"/>
      <w:marRight w:val="0"/>
      <w:marTop w:val="0"/>
      <w:marBottom w:val="0"/>
      <w:divBdr>
        <w:top w:val="none" w:sz="0" w:space="0" w:color="auto"/>
        <w:left w:val="none" w:sz="0" w:space="0" w:color="auto"/>
        <w:bottom w:val="none" w:sz="0" w:space="0" w:color="auto"/>
        <w:right w:val="none" w:sz="0" w:space="0" w:color="auto"/>
      </w:divBdr>
    </w:div>
    <w:div w:id="129369665">
      <w:bodyDiv w:val="1"/>
      <w:marLeft w:val="0"/>
      <w:marRight w:val="0"/>
      <w:marTop w:val="0"/>
      <w:marBottom w:val="0"/>
      <w:divBdr>
        <w:top w:val="none" w:sz="0" w:space="0" w:color="auto"/>
        <w:left w:val="none" w:sz="0" w:space="0" w:color="auto"/>
        <w:bottom w:val="none" w:sz="0" w:space="0" w:color="auto"/>
        <w:right w:val="none" w:sz="0" w:space="0" w:color="auto"/>
      </w:divBdr>
    </w:div>
    <w:div w:id="213347687">
      <w:bodyDiv w:val="1"/>
      <w:marLeft w:val="0"/>
      <w:marRight w:val="0"/>
      <w:marTop w:val="0"/>
      <w:marBottom w:val="0"/>
      <w:divBdr>
        <w:top w:val="none" w:sz="0" w:space="0" w:color="auto"/>
        <w:left w:val="none" w:sz="0" w:space="0" w:color="auto"/>
        <w:bottom w:val="none" w:sz="0" w:space="0" w:color="auto"/>
        <w:right w:val="none" w:sz="0" w:space="0" w:color="auto"/>
      </w:divBdr>
    </w:div>
    <w:div w:id="261688730">
      <w:bodyDiv w:val="1"/>
      <w:marLeft w:val="0"/>
      <w:marRight w:val="0"/>
      <w:marTop w:val="0"/>
      <w:marBottom w:val="0"/>
      <w:divBdr>
        <w:top w:val="none" w:sz="0" w:space="0" w:color="auto"/>
        <w:left w:val="none" w:sz="0" w:space="0" w:color="auto"/>
        <w:bottom w:val="none" w:sz="0" w:space="0" w:color="auto"/>
        <w:right w:val="none" w:sz="0" w:space="0" w:color="auto"/>
      </w:divBdr>
    </w:div>
    <w:div w:id="300428624">
      <w:bodyDiv w:val="1"/>
      <w:marLeft w:val="0"/>
      <w:marRight w:val="0"/>
      <w:marTop w:val="0"/>
      <w:marBottom w:val="0"/>
      <w:divBdr>
        <w:top w:val="none" w:sz="0" w:space="0" w:color="auto"/>
        <w:left w:val="none" w:sz="0" w:space="0" w:color="auto"/>
        <w:bottom w:val="none" w:sz="0" w:space="0" w:color="auto"/>
        <w:right w:val="none" w:sz="0" w:space="0" w:color="auto"/>
      </w:divBdr>
    </w:div>
    <w:div w:id="346761696">
      <w:bodyDiv w:val="1"/>
      <w:marLeft w:val="0"/>
      <w:marRight w:val="0"/>
      <w:marTop w:val="0"/>
      <w:marBottom w:val="0"/>
      <w:divBdr>
        <w:top w:val="none" w:sz="0" w:space="0" w:color="auto"/>
        <w:left w:val="none" w:sz="0" w:space="0" w:color="auto"/>
        <w:bottom w:val="none" w:sz="0" w:space="0" w:color="auto"/>
        <w:right w:val="none" w:sz="0" w:space="0" w:color="auto"/>
      </w:divBdr>
    </w:div>
    <w:div w:id="364059658">
      <w:bodyDiv w:val="1"/>
      <w:marLeft w:val="0"/>
      <w:marRight w:val="0"/>
      <w:marTop w:val="0"/>
      <w:marBottom w:val="0"/>
      <w:divBdr>
        <w:top w:val="none" w:sz="0" w:space="0" w:color="auto"/>
        <w:left w:val="none" w:sz="0" w:space="0" w:color="auto"/>
        <w:bottom w:val="none" w:sz="0" w:space="0" w:color="auto"/>
        <w:right w:val="none" w:sz="0" w:space="0" w:color="auto"/>
      </w:divBdr>
    </w:div>
    <w:div w:id="379861027">
      <w:bodyDiv w:val="1"/>
      <w:marLeft w:val="0"/>
      <w:marRight w:val="0"/>
      <w:marTop w:val="0"/>
      <w:marBottom w:val="0"/>
      <w:divBdr>
        <w:top w:val="none" w:sz="0" w:space="0" w:color="auto"/>
        <w:left w:val="none" w:sz="0" w:space="0" w:color="auto"/>
        <w:bottom w:val="none" w:sz="0" w:space="0" w:color="auto"/>
        <w:right w:val="none" w:sz="0" w:space="0" w:color="auto"/>
      </w:divBdr>
    </w:div>
    <w:div w:id="386297244">
      <w:bodyDiv w:val="1"/>
      <w:marLeft w:val="0"/>
      <w:marRight w:val="0"/>
      <w:marTop w:val="0"/>
      <w:marBottom w:val="0"/>
      <w:divBdr>
        <w:top w:val="none" w:sz="0" w:space="0" w:color="auto"/>
        <w:left w:val="none" w:sz="0" w:space="0" w:color="auto"/>
        <w:bottom w:val="none" w:sz="0" w:space="0" w:color="auto"/>
        <w:right w:val="none" w:sz="0" w:space="0" w:color="auto"/>
      </w:divBdr>
    </w:div>
    <w:div w:id="390202170">
      <w:bodyDiv w:val="1"/>
      <w:marLeft w:val="0"/>
      <w:marRight w:val="0"/>
      <w:marTop w:val="0"/>
      <w:marBottom w:val="0"/>
      <w:divBdr>
        <w:top w:val="none" w:sz="0" w:space="0" w:color="auto"/>
        <w:left w:val="none" w:sz="0" w:space="0" w:color="auto"/>
        <w:bottom w:val="none" w:sz="0" w:space="0" w:color="auto"/>
        <w:right w:val="none" w:sz="0" w:space="0" w:color="auto"/>
      </w:divBdr>
    </w:div>
    <w:div w:id="479270351">
      <w:bodyDiv w:val="1"/>
      <w:marLeft w:val="0"/>
      <w:marRight w:val="0"/>
      <w:marTop w:val="0"/>
      <w:marBottom w:val="0"/>
      <w:divBdr>
        <w:top w:val="none" w:sz="0" w:space="0" w:color="auto"/>
        <w:left w:val="none" w:sz="0" w:space="0" w:color="auto"/>
        <w:bottom w:val="none" w:sz="0" w:space="0" w:color="auto"/>
        <w:right w:val="none" w:sz="0" w:space="0" w:color="auto"/>
      </w:divBdr>
    </w:div>
    <w:div w:id="566233724">
      <w:bodyDiv w:val="1"/>
      <w:marLeft w:val="0"/>
      <w:marRight w:val="0"/>
      <w:marTop w:val="0"/>
      <w:marBottom w:val="0"/>
      <w:divBdr>
        <w:top w:val="none" w:sz="0" w:space="0" w:color="auto"/>
        <w:left w:val="none" w:sz="0" w:space="0" w:color="auto"/>
        <w:bottom w:val="none" w:sz="0" w:space="0" w:color="auto"/>
        <w:right w:val="none" w:sz="0" w:space="0" w:color="auto"/>
      </w:divBdr>
    </w:div>
    <w:div w:id="592738239">
      <w:bodyDiv w:val="1"/>
      <w:marLeft w:val="0"/>
      <w:marRight w:val="0"/>
      <w:marTop w:val="0"/>
      <w:marBottom w:val="0"/>
      <w:divBdr>
        <w:top w:val="none" w:sz="0" w:space="0" w:color="auto"/>
        <w:left w:val="none" w:sz="0" w:space="0" w:color="auto"/>
        <w:bottom w:val="none" w:sz="0" w:space="0" w:color="auto"/>
        <w:right w:val="none" w:sz="0" w:space="0" w:color="auto"/>
      </w:divBdr>
    </w:div>
    <w:div w:id="609701717">
      <w:bodyDiv w:val="1"/>
      <w:marLeft w:val="0"/>
      <w:marRight w:val="0"/>
      <w:marTop w:val="0"/>
      <w:marBottom w:val="0"/>
      <w:divBdr>
        <w:top w:val="none" w:sz="0" w:space="0" w:color="auto"/>
        <w:left w:val="none" w:sz="0" w:space="0" w:color="auto"/>
        <w:bottom w:val="none" w:sz="0" w:space="0" w:color="auto"/>
        <w:right w:val="none" w:sz="0" w:space="0" w:color="auto"/>
      </w:divBdr>
    </w:div>
    <w:div w:id="683746057">
      <w:bodyDiv w:val="1"/>
      <w:marLeft w:val="0"/>
      <w:marRight w:val="0"/>
      <w:marTop w:val="0"/>
      <w:marBottom w:val="0"/>
      <w:divBdr>
        <w:top w:val="none" w:sz="0" w:space="0" w:color="auto"/>
        <w:left w:val="none" w:sz="0" w:space="0" w:color="auto"/>
        <w:bottom w:val="none" w:sz="0" w:space="0" w:color="auto"/>
        <w:right w:val="none" w:sz="0" w:space="0" w:color="auto"/>
      </w:divBdr>
    </w:div>
    <w:div w:id="688264374">
      <w:bodyDiv w:val="1"/>
      <w:marLeft w:val="0"/>
      <w:marRight w:val="0"/>
      <w:marTop w:val="0"/>
      <w:marBottom w:val="0"/>
      <w:divBdr>
        <w:top w:val="none" w:sz="0" w:space="0" w:color="auto"/>
        <w:left w:val="none" w:sz="0" w:space="0" w:color="auto"/>
        <w:bottom w:val="none" w:sz="0" w:space="0" w:color="auto"/>
        <w:right w:val="none" w:sz="0" w:space="0" w:color="auto"/>
      </w:divBdr>
    </w:div>
    <w:div w:id="721903483">
      <w:bodyDiv w:val="1"/>
      <w:marLeft w:val="0"/>
      <w:marRight w:val="0"/>
      <w:marTop w:val="0"/>
      <w:marBottom w:val="0"/>
      <w:divBdr>
        <w:top w:val="none" w:sz="0" w:space="0" w:color="auto"/>
        <w:left w:val="none" w:sz="0" w:space="0" w:color="auto"/>
        <w:bottom w:val="none" w:sz="0" w:space="0" w:color="auto"/>
        <w:right w:val="none" w:sz="0" w:space="0" w:color="auto"/>
      </w:divBdr>
    </w:div>
    <w:div w:id="767697154">
      <w:bodyDiv w:val="1"/>
      <w:marLeft w:val="0"/>
      <w:marRight w:val="0"/>
      <w:marTop w:val="0"/>
      <w:marBottom w:val="0"/>
      <w:divBdr>
        <w:top w:val="none" w:sz="0" w:space="0" w:color="auto"/>
        <w:left w:val="none" w:sz="0" w:space="0" w:color="auto"/>
        <w:bottom w:val="none" w:sz="0" w:space="0" w:color="auto"/>
        <w:right w:val="none" w:sz="0" w:space="0" w:color="auto"/>
      </w:divBdr>
    </w:div>
    <w:div w:id="783691075">
      <w:bodyDiv w:val="1"/>
      <w:marLeft w:val="0"/>
      <w:marRight w:val="0"/>
      <w:marTop w:val="0"/>
      <w:marBottom w:val="0"/>
      <w:divBdr>
        <w:top w:val="none" w:sz="0" w:space="0" w:color="auto"/>
        <w:left w:val="none" w:sz="0" w:space="0" w:color="auto"/>
        <w:bottom w:val="none" w:sz="0" w:space="0" w:color="auto"/>
        <w:right w:val="none" w:sz="0" w:space="0" w:color="auto"/>
      </w:divBdr>
      <w:divsChild>
        <w:div w:id="1379629405">
          <w:marLeft w:val="547"/>
          <w:marRight w:val="0"/>
          <w:marTop w:val="200"/>
          <w:marBottom w:val="0"/>
          <w:divBdr>
            <w:top w:val="none" w:sz="0" w:space="0" w:color="auto"/>
            <w:left w:val="none" w:sz="0" w:space="0" w:color="auto"/>
            <w:bottom w:val="none" w:sz="0" w:space="0" w:color="auto"/>
            <w:right w:val="none" w:sz="0" w:space="0" w:color="auto"/>
          </w:divBdr>
        </w:div>
        <w:div w:id="1538541901">
          <w:marLeft w:val="547"/>
          <w:marRight w:val="0"/>
          <w:marTop w:val="200"/>
          <w:marBottom w:val="0"/>
          <w:divBdr>
            <w:top w:val="none" w:sz="0" w:space="0" w:color="auto"/>
            <w:left w:val="none" w:sz="0" w:space="0" w:color="auto"/>
            <w:bottom w:val="none" w:sz="0" w:space="0" w:color="auto"/>
            <w:right w:val="none" w:sz="0" w:space="0" w:color="auto"/>
          </w:divBdr>
        </w:div>
        <w:div w:id="1686177186">
          <w:marLeft w:val="547"/>
          <w:marRight w:val="0"/>
          <w:marTop w:val="200"/>
          <w:marBottom w:val="0"/>
          <w:divBdr>
            <w:top w:val="none" w:sz="0" w:space="0" w:color="auto"/>
            <w:left w:val="none" w:sz="0" w:space="0" w:color="auto"/>
            <w:bottom w:val="none" w:sz="0" w:space="0" w:color="auto"/>
            <w:right w:val="none" w:sz="0" w:space="0" w:color="auto"/>
          </w:divBdr>
        </w:div>
        <w:div w:id="1669283558">
          <w:marLeft w:val="547"/>
          <w:marRight w:val="0"/>
          <w:marTop w:val="200"/>
          <w:marBottom w:val="0"/>
          <w:divBdr>
            <w:top w:val="none" w:sz="0" w:space="0" w:color="auto"/>
            <w:left w:val="none" w:sz="0" w:space="0" w:color="auto"/>
            <w:bottom w:val="none" w:sz="0" w:space="0" w:color="auto"/>
            <w:right w:val="none" w:sz="0" w:space="0" w:color="auto"/>
          </w:divBdr>
        </w:div>
        <w:div w:id="304747015">
          <w:marLeft w:val="547"/>
          <w:marRight w:val="0"/>
          <w:marTop w:val="200"/>
          <w:marBottom w:val="0"/>
          <w:divBdr>
            <w:top w:val="none" w:sz="0" w:space="0" w:color="auto"/>
            <w:left w:val="none" w:sz="0" w:space="0" w:color="auto"/>
            <w:bottom w:val="none" w:sz="0" w:space="0" w:color="auto"/>
            <w:right w:val="none" w:sz="0" w:space="0" w:color="auto"/>
          </w:divBdr>
        </w:div>
      </w:divsChild>
    </w:div>
    <w:div w:id="897132215">
      <w:bodyDiv w:val="1"/>
      <w:marLeft w:val="0"/>
      <w:marRight w:val="0"/>
      <w:marTop w:val="0"/>
      <w:marBottom w:val="0"/>
      <w:divBdr>
        <w:top w:val="none" w:sz="0" w:space="0" w:color="auto"/>
        <w:left w:val="none" w:sz="0" w:space="0" w:color="auto"/>
        <w:bottom w:val="none" w:sz="0" w:space="0" w:color="auto"/>
        <w:right w:val="none" w:sz="0" w:space="0" w:color="auto"/>
      </w:divBdr>
    </w:div>
    <w:div w:id="935404375">
      <w:bodyDiv w:val="1"/>
      <w:marLeft w:val="0"/>
      <w:marRight w:val="0"/>
      <w:marTop w:val="0"/>
      <w:marBottom w:val="0"/>
      <w:divBdr>
        <w:top w:val="none" w:sz="0" w:space="0" w:color="auto"/>
        <w:left w:val="none" w:sz="0" w:space="0" w:color="auto"/>
        <w:bottom w:val="none" w:sz="0" w:space="0" w:color="auto"/>
        <w:right w:val="none" w:sz="0" w:space="0" w:color="auto"/>
      </w:divBdr>
    </w:div>
    <w:div w:id="976105119">
      <w:bodyDiv w:val="1"/>
      <w:marLeft w:val="0"/>
      <w:marRight w:val="0"/>
      <w:marTop w:val="0"/>
      <w:marBottom w:val="0"/>
      <w:divBdr>
        <w:top w:val="none" w:sz="0" w:space="0" w:color="auto"/>
        <w:left w:val="none" w:sz="0" w:space="0" w:color="auto"/>
        <w:bottom w:val="none" w:sz="0" w:space="0" w:color="auto"/>
        <w:right w:val="none" w:sz="0" w:space="0" w:color="auto"/>
      </w:divBdr>
    </w:div>
    <w:div w:id="1063673498">
      <w:bodyDiv w:val="1"/>
      <w:marLeft w:val="0"/>
      <w:marRight w:val="0"/>
      <w:marTop w:val="0"/>
      <w:marBottom w:val="0"/>
      <w:divBdr>
        <w:top w:val="none" w:sz="0" w:space="0" w:color="auto"/>
        <w:left w:val="none" w:sz="0" w:space="0" w:color="auto"/>
        <w:bottom w:val="none" w:sz="0" w:space="0" w:color="auto"/>
        <w:right w:val="none" w:sz="0" w:space="0" w:color="auto"/>
      </w:divBdr>
    </w:div>
    <w:div w:id="1076974765">
      <w:bodyDiv w:val="1"/>
      <w:marLeft w:val="0"/>
      <w:marRight w:val="0"/>
      <w:marTop w:val="0"/>
      <w:marBottom w:val="0"/>
      <w:divBdr>
        <w:top w:val="none" w:sz="0" w:space="0" w:color="auto"/>
        <w:left w:val="none" w:sz="0" w:space="0" w:color="auto"/>
        <w:bottom w:val="none" w:sz="0" w:space="0" w:color="auto"/>
        <w:right w:val="none" w:sz="0" w:space="0" w:color="auto"/>
      </w:divBdr>
    </w:div>
    <w:div w:id="1201435516">
      <w:bodyDiv w:val="1"/>
      <w:marLeft w:val="0"/>
      <w:marRight w:val="0"/>
      <w:marTop w:val="0"/>
      <w:marBottom w:val="0"/>
      <w:divBdr>
        <w:top w:val="none" w:sz="0" w:space="0" w:color="auto"/>
        <w:left w:val="none" w:sz="0" w:space="0" w:color="auto"/>
        <w:bottom w:val="none" w:sz="0" w:space="0" w:color="auto"/>
        <w:right w:val="none" w:sz="0" w:space="0" w:color="auto"/>
      </w:divBdr>
    </w:div>
    <w:div w:id="1207990132">
      <w:bodyDiv w:val="1"/>
      <w:marLeft w:val="0"/>
      <w:marRight w:val="0"/>
      <w:marTop w:val="0"/>
      <w:marBottom w:val="0"/>
      <w:divBdr>
        <w:top w:val="none" w:sz="0" w:space="0" w:color="auto"/>
        <w:left w:val="none" w:sz="0" w:space="0" w:color="auto"/>
        <w:bottom w:val="none" w:sz="0" w:space="0" w:color="auto"/>
        <w:right w:val="none" w:sz="0" w:space="0" w:color="auto"/>
      </w:divBdr>
    </w:div>
    <w:div w:id="1218667419">
      <w:bodyDiv w:val="1"/>
      <w:marLeft w:val="0"/>
      <w:marRight w:val="0"/>
      <w:marTop w:val="0"/>
      <w:marBottom w:val="0"/>
      <w:divBdr>
        <w:top w:val="none" w:sz="0" w:space="0" w:color="auto"/>
        <w:left w:val="none" w:sz="0" w:space="0" w:color="auto"/>
        <w:bottom w:val="none" w:sz="0" w:space="0" w:color="auto"/>
        <w:right w:val="none" w:sz="0" w:space="0" w:color="auto"/>
      </w:divBdr>
    </w:div>
    <w:div w:id="1235358826">
      <w:bodyDiv w:val="1"/>
      <w:marLeft w:val="0"/>
      <w:marRight w:val="0"/>
      <w:marTop w:val="0"/>
      <w:marBottom w:val="0"/>
      <w:divBdr>
        <w:top w:val="none" w:sz="0" w:space="0" w:color="auto"/>
        <w:left w:val="none" w:sz="0" w:space="0" w:color="auto"/>
        <w:bottom w:val="none" w:sz="0" w:space="0" w:color="auto"/>
        <w:right w:val="none" w:sz="0" w:space="0" w:color="auto"/>
      </w:divBdr>
    </w:div>
    <w:div w:id="1261186576">
      <w:bodyDiv w:val="1"/>
      <w:marLeft w:val="0"/>
      <w:marRight w:val="0"/>
      <w:marTop w:val="0"/>
      <w:marBottom w:val="0"/>
      <w:divBdr>
        <w:top w:val="none" w:sz="0" w:space="0" w:color="auto"/>
        <w:left w:val="none" w:sz="0" w:space="0" w:color="auto"/>
        <w:bottom w:val="none" w:sz="0" w:space="0" w:color="auto"/>
        <w:right w:val="none" w:sz="0" w:space="0" w:color="auto"/>
      </w:divBdr>
    </w:div>
    <w:div w:id="1299146598">
      <w:bodyDiv w:val="1"/>
      <w:marLeft w:val="0"/>
      <w:marRight w:val="0"/>
      <w:marTop w:val="0"/>
      <w:marBottom w:val="0"/>
      <w:divBdr>
        <w:top w:val="none" w:sz="0" w:space="0" w:color="auto"/>
        <w:left w:val="none" w:sz="0" w:space="0" w:color="auto"/>
        <w:bottom w:val="none" w:sz="0" w:space="0" w:color="auto"/>
        <w:right w:val="none" w:sz="0" w:space="0" w:color="auto"/>
      </w:divBdr>
    </w:div>
    <w:div w:id="1300964018">
      <w:bodyDiv w:val="1"/>
      <w:marLeft w:val="0"/>
      <w:marRight w:val="0"/>
      <w:marTop w:val="0"/>
      <w:marBottom w:val="0"/>
      <w:divBdr>
        <w:top w:val="none" w:sz="0" w:space="0" w:color="auto"/>
        <w:left w:val="none" w:sz="0" w:space="0" w:color="auto"/>
        <w:bottom w:val="none" w:sz="0" w:space="0" w:color="auto"/>
        <w:right w:val="none" w:sz="0" w:space="0" w:color="auto"/>
      </w:divBdr>
    </w:div>
    <w:div w:id="1386103361">
      <w:bodyDiv w:val="1"/>
      <w:marLeft w:val="0"/>
      <w:marRight w:val="0"/>
      <w:marTop w:val="0"/>
      <w:marBottom w:val="0"/>
      <w:divBdr>
        <w:top w:val="none" w:sz="0" w:space="0" w:color="auto"/>
        <w:left w:val="none" w:sz="0" w:space="0" w:color="auto"/>
        <w:bottom w:val="none" w:sz="0" w:space="0" w:color="auto"/>
        <w:right w:val="none" w:sz="0" w:space="0" w:color="auto"/>
      </w:divBdr>
    </w:div>
    <w:div w:id="1425808929">
      <w:bodyDiv w:val="1"/>
      <w:marLeft w:val="0"/>
      <w:marRight w:val="0"/>
      <w:marTop w:val="0"/>
      <w:marBottom w:val="0"/>
      <w:divBdr>
        <w:top w:val="none" w:sz="0" w:space="0" w:color="auto"/>
        <w:left w:val="none" w:sz="0" w:space="0" w:color="auto"/>
        <w:bottom w:val="none" w:sz="0" w:space="0" w:color="auto"/>
        <w:right w:val="none" w:sz="0" w:space="0" w:color="auto"/>
      </w:divBdr>
    </w:div>
    <w:div w:id="1494956288">
      <w:bodyDiv w:val="1"/>
      <w:marLeft w:val="0"/>
      <w:marRight w:val="0"/>
      <w:marTop w:val="0"/>
      <w:marBottom w:val="0"/>
      <w:divBdr>
        <w:top w:val="none" w:sz="0" w:space="0" w:color="auto"/>
        <w:left w:val="none" w:sz="0" w:space="0" w:color="auto"/>
        <w:bottom w:val="none" w:sz="0" w:space="0" w:color="auto"/>
        <w:right w:val="none" w:sz="0" w:space="0" w:color="auto"/>
      </w:divBdr>
      <w:divsChild>
        <w:div w:id="919947756">
          <w:marLeft w:val="360"/>
          <w:marRight w:val="0"/>
          <w:marTop w:val="200"/>
          <w:marBottom w:val="0"/>
          <w:divBdr>
            <w:top w:val="none" w:sz="0" w:space="0" w:color="auto"/>
            <w:left w:val="none" w:sz="0" w:space="0" w:color="auto"/>
            <w:bottom w:val="none" w:sz="0" w:space="0" w:color="auto"/>
            <w:right w:val="none" w:sz="0" w:space="0" w:color="auto"/>
          </w:divBdr>
        </w:div>
        <w:div w:id="1254900700">
          <w:marLeft w:val="360"/>
          <w:marRight w:val="0"/>
          <w:marTop w:val="200"/>
          <w:marBottom w:val="0"/>
          <w:divBdr>
            <w:top w:val="none" w:sz="0" w:space="0" w:color="auto"/>
            <w:left w:val="none" w:sz="0" w:space="0" w:color="auto"/>
            <w:bottom w:val="none" w:sz="0" w:space="0" w:color="auto"/>
            <w:right w:val="none" w:sz="0" w:space="0" w:color="auto"/>
          </w:divBdr>
        </w:div>
      </w:divsChild>
    </w:div>
    <w:div w:id="1518037156">
      <w:bodyDiv w:val="1"/>
      <w:marLeft w:val="0"/>
      <w:marRight w:val="0"/>
      <w:marTop w:val="0"/>
      <w:marBottom w:val="0"/>
      <w:divBdr>
        <w:top w:val="none" w:sz="0" w:space="0" w:color="auto"/>
        <w:left w:val="none" w:sz="0" w:space="0" w:color="auto"/>
        <w:bottom w:val="none" w:sz="0" w:space="0" w:color="auto"/>
        <w:right w:val="none" w:sz="0" w:space="0" w:color="auto"/>
      </w:divBdr>
    </w:div>
    <w:div w:id="1649433011">
      <w:bodyDiv w:val="1"/>
      <w:marLeft w:val="0"/>
      <w:marRight w:val="0"/>
      <w:marTop w:val="0"/>
      <w:marBottom w:val="0"/>
      <w:divBdr>
        <w:top w:val="none" w:sz="0" w:space="0" w:color="auto"/>
        <w:left w:val="none" w:sz="0" w:space="0" w:color="auto"/>
        <w:bottom w:val="none" w:sz="0" w:space="0" w:color="auto"/>
        <w:right w:val="none" w:sz="0" w:space="0" w:color="auto"/>
      </w:divBdr>
    </w:div>
    <w:div w:id="1674335919">
      <w:bodyDiv w:val="1"/>
      <w:marLeft w:val="0"/>
      <w:marRight w:val="0"/>
      <w:marTop w:val="0"/>
      <w:marBottom w:val="0"/>
      <w:divBdr>
        <w:top w:val="none" w:sz="0" w:space="0" w:color="auto"/>
        <w:left w:val="none" w:sz="0" w:space="0" w:color="auto"/>
        <w:bottom w:val="none" w:sz="0" w:space="0" w:color="auto"/>
        <w:right w:val="none" w:sz="0" w:space="0" w:color="auto"/>
      </w:divBdr>
    </w:div>
    <w:div w:id="1725593586">
      <w:bodyDiv w:val="1"/>
      <w:marLeft w:val="0"/>
      <w:marRight w:val="0"/>
      <w:marTop w:val="0"/>
      <w:marBottom w:val="0"/>
      <w:divBdr>
        <w:top w:val="none" w:sz="0" w:space="0" w:color="auto"/>
        <w:left w:val="none" w:sz="0" w:space="0" w:color="auto"/>
        <w:bottom w:val="none" w:sz="0" w:space="0" w:color="auto"/>
        <w:right w:val="none" w:sz="0" w:space="0" w:color="auto"/>
      </w:divBdr>
    </w:div>
    <w:div w:id="1775321861">
      <w:bodyDiv w:val="1"/>
      <w:marLeft w:val="0"/>
      <w:marRight w:val="0"/>
      <w:marTop w:val="0"/>
      <w:marBottom w:val="0"/>
      <w:divBdr>
        <w:top w:val="none" w:sz="0" w:space="0" w:color="auto"/>
        <w:left w:val="none" w:sz="0" w:space="0" w:color="auto"/>
        <w:bottom w:val="none" w:sz="0" w:space="0" w:color="auto"/>
        <w:right w:val="none" w:sz="0" w:space="0" w:color="auto"/>
      </w:divBdr>
    </w:div>
    <w:div w:id="1779175355">
      <w:bodyDiv w:val="1"/>
      <w:marLeft w:val="0"/>
      <w:marRight w:val="0"/>
      <w:marTop w:val="0"/>
      <w:marBottom w:val="0"/>
      <w:divBdr>
        <w:top w:val="none" w:sz="0" w:space="0" w:color="auto"/>
        <w:left w:val="none" w:sz="0" w:space="0" w:color="auto"/>
        <w:bottom w:val="none" w:sz="0" w:space="0" w:color="auto"/>
        <w:right w:val="none" w:sz="0" w:space="0" w:color="auto"/>
      </w:divBdr>
    </w:div>
    <w:div w:id="1797792368">
      <w:bodyDiv w:val="1"/>
      <w:marLeft w:val="0"/>
      <w:marRight w:val="0"/>
      <w:marTop w:val="0"/>
      <w:marBottom w:val="0"/>
      <w:divBdr>
        <w:top w:val="none" w:sz="0" w:space="0" w:color="auto"/>
        <w:left w:val="none" w:sz="0" w:space="0" w:color="auto"/>
        <w:bottom w:val="none" w:sz="0" w:space="0" w:color="auto"/>
        <w:right w:val="none" w:sz="0" w:space="0" w:color="auto"/>
      </w:divBdr>
    </w:div>
    <w:div w:id="1803840185">
      <w:bodyDiv w:val="1"/>
      <w:marLeft w:val="0"/>
      <w:marRight w:val="0"/>
      <w:marTop w:val="0"/>
      <w:marBottom w:val="0"/>
      <w:divBdr>
        <w:top w:val="none" w:sz="0" w:space="0" w:color="auto"/>
        <w:left w:val="none" w:sz="0" w:space="0" w:color="auto"/>
        <w:bottom w:val="none" w:sz="0" w:space="0" w:color="auto"/>
        <w:right w:val="none" w:sz="0" w:space="0" w:color="auto"/>
      </w:divBdr>
    </w:div>
    <w:div w:id="1883443306">
      <w:bodyDiv w:val="1"/>
      <w:marLeft w:val="0"/>
      <w:marRight w:val="0"/>
      <w:marTop w:val="0"/>
      <w:marBottom w:val="0"/>
      <w:divBdr>
        <w:top w:val="none" w:sz="0" w:space="0" w:color="auto"/>
        <w:left w:val="none" w:sz="0" w:space="0" w:color="auto"/>
        <w:bottom w:val="none" w:sz="0" w:space="0" w:color="auto"/>
        <w:right w:val="none" w:sz="0" w:space="0" w:color="auto"/>
      </w:divBdr>
    </w:div>
    <w:div w:id="1901094145">
      <w:bodyDiv w:val="1"/>
      <w:marLeft w:val="0"/>
      <w:marRight w:val="0"/>
      <w:marTop w:val="0"/>
      <w:marBottom w:val="0"/>
      <w:divBdr>
        <w:top w:val="none" w:sz="0" w:space="0" w:color="auto"/>
        <w:left w:val="none" w:sz="0" w:space="0" w:color="auto"/>
        <w:bottom w:val="none" w:sz="0" w:space="0" w:color="auto"/>
        <w:right w:val="none" w:sz="0" w:space="0" w:color="auto"/>
      </w:divBdr>
    </w:div>
    <w:div w:id="1948656506">
      <w:bodyDiv w:val="1"/>
      <w:marLeft w:val="0"/>
      <w:marRight w:val="0"/>
      <w:marTop w:val="0"/>
      <w:marBottom w:val="0"/>
      <w:divBdr>
        <w:top w:val="none" w:sz="0" w:space="0" w:color="auto"/>
        <w:left w:val="none" w:sz="0" w:space="0" w:color="auto"/>
        <w:bottom w:val="none" w:sz="0" w:space="0" w:color="auto"/>
        <w:right w:val="none" w:sz="0" w:space="0" w:color="auto"/>
      </w:divBdr>
    </w:div>
    <w:div w:id="1975988509">
      <w:bodyDiv w:val="1"/>
      <w:marLeft w:val="0"/>
      <w:marRight w:val="0"/>
      <w:marTop w:val="0"/>
      <w:marBottom w:val="0"/>
      <w:divBdr>
        <w:top w:val="none" w:sz="0" w:space="0" w:color="auto"/>
        <w:left w:val="none" w:sz="0" w:space="0" w:color="auto"/>
        <w:bottom w:val="none" w:sz="0" w:space="0" w:color="auto"/>
        <w:right w:val="none" w:sz="0" w:space="0" w:color="auto"/>
      </w:divBdr>
    </w:div>
    <w:div w:id="2082292818">
      <w:bodyDiv w:val="1"/>
      <w:marLeft w:val="0"/>
      <w:marRight w:val="0"/>
      <w:marTop w:val="0"/>
      <w:marBottom w:val="0"/>
      <w:divBdr>
        <w:top w:val="none" w:sz="0" w:space="0" w:color="auto"/>
        <w:left w:val="none" w:sz="0" w:space="0" w:color="auto"/>
        <w:bottom w:val="none" w:sz="0" w:space="0" w:color="auto"/>
        <w:right w:val="none" w:sz="0" w:space="0" w:color="auto"/>
      </w:divBdr>
    </w:div>
    <w:div w:id="20921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binaries/content/documents/govscot/publications/strategy-plan/2022/08/national-drugs-mission-plan-2022-2026/documents/national-mission-drug-deaths-plan-2022-2026/national-mission-drug-deaths-plan-2022-2026/govscot%3Adocument/national-mission-drug-deaths-plan-2022-2026.pdf" TargetMode="External"/><Relationship Id="rId18" Type="http://schemas.openxmlformats.org/officeDocument/2006/relationships/hyperlink" Target="https://www.edinburghadp.co.uk/services/circle/"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https://www.edinburghadp.co.uk/services/vocal-family-support-addictions/" TargetMode="External"/><Relationship Id="rId7" Type="http://schemas.openxmlformats.org/officeDocument/2006/relationships/settings" Target="settings.xml"/><Relationship Id="rId12" Type="http://schemas.openxmlformats.org/officeDocument/2006/relationships/hyperlink" Target="https://www.gov.scot/binaries/content/documents/govscot/publications/independent-report/2021/05/medication-assisted-treatment-mat-standards-scotland-access-choice-support/documents/medication-assisted-treatment-mat-standards-scotland-access-choice-support/medication-assisted-treatment-mat-standards-scotland-access-choice-support/govscot%3Adocument/medication-assisted-treatment-mat-standards-scotland-access-choice-support.pdf" TargetMode="External"/><Relationship Id="rId17" Type="http://schemas.openxmlformats.org/officeDocument/2006/relationships/hyperlink" Target="https://www.crew.scot/the-scottish-drug-checking-project/" TargetMode="External"/><Relationship Id="rId25" Type="http://schemas.openxmlformats.org/officeDocument/2006/relationships/hyperlink" Target="https://links.uk.defend.egress.com/Warning?crId=667e5303383fcf792f0c01ca&amp;Domain=edinburgh.gov.uk&amp;Lang=en&amp;Base64Url=eNo9ytEOgyAMQNEvKmRL5sP-BmmBRi2GFsn-XpcY325yTzHb9ev9GMMRssy95eJyPVxfPNYhaw2oT_nXZ5re_pGgIVEDbD1DrKJ9242rQAqRVzYmhSB4_0JxYcmg1A6O10oUlOc__IFax4ufSSI2tg%3D%3D&amp;@OriginalLink=www.edinburgh.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inburgh.gov.uk/mental-health-addiction/edinburgh-safer-drug-consumption-facilities-edinburgh-drug-checking-services-feasibility-studies" TargetMode="External"/><Relationship Id="rId20" Type="http://schemas.openxmlformats.org/officeDocument/2006/relationships/hyperlink" Target="https://www.edinburgh.gov.uk/support-families/family-meetings"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inburghadp.co.uk/wp-content/uploads/2022/06/EADP-Strategic-Plan-2021-2024-1.pdf" TargetMode="External"/><Relationship Id="rId24" Type="http://schemas.openxmlformats.org/officeDocument/2006/relationships/hyperlink" Target="https://links.uk.defend.egress.com/Warning?crId=667e5303383fcf792f0c01ca&amp;Domain=edinburgh.gov.uk&amp;Lang=en&amp;Base64Url=eNplyEsOgCAMBcATle69DbHPSpBCSv0cX_fuJrNHjLkwT9lSd01n5bt75aNcEMom9KmYEp4BL7AV_BuCaVY0WPAL20IesQ%3D%3D&amp;@OriginalLink=sdf.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lichealthscotland.scot/media/27786/v11_national-benchmark-report-on-mat-standards-2023-24.pdf" TargetMode="External"/><Relationship Id="rId23" Type="http://schemas.openxmlformats.org/officeDocument/2006/relationships/hyperlink" Target="https://publichealthscotland.scot/media/27786/v11_national-benchmark-report-on-mat-standards-2023-24.pdf" TargetMode="External"/><Relationship Id="rId28" Type="http://schemas.openxmlformats.org/officeDocument/2006/relationships/hyperlink" Target="https://links.uk.defend.egress.com/Warning?crId=65af770dd04082a44e94253a&amp;Domain=edinburgh.gov.uk&amp;Lang=en&amp;Base64Url=eNqVykEKgDAMBdETxe69TW0_JhDSYtLi8a3gBdwNzOOI7ntKfRwqhZE12EsLzVa3N76TQ5p5MqAqCHfhbCfIxzUhunQBiUnIghNkcPmHH3ODNXU%3D" TargetMode="External"/><Relationship Id="rId10" Type="http://schemas.openxmlformats.org/officeDocument/2006/relationships/endnotes" Target="endnotes.xml"/><Relationship Id="rId19" Type="http://schemas.openxmlformats.org/officeDocument/2006/relationships/hyperlink" Target="https://www.edinburghadp.co.uk/services/sunflower-gard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uk.defend.egress.com/Warning?crId=66993566b24279c69c00bfe8&amp;Domain=edinburgh.gov.uk&amp;Lang=en&amp;Base64Url=eNqlj0EOwjAMBF-0BEoPiN-4jSGBxIliF4nf01TlzIGTrfVoVg5mVa_O1WVKcQ5MyYLOxRKJP_Rlv5DFIupkm5QwscwhU3tGuaNxLc1QBDHXxJnFNg7lBguMzH43gFSjGntYY7JOIpNBbe2j5n83dN_fLfi-iOE4nIdx9b-irvzpgseS3j0e3QeNg2ul&amp;@OriginalLink=publichealthscotland.scot" TargetMode="External"/><Relationship Id="rId22" Type="http://schemas.openxmlformats.org/officeDocument/2006/relationships/hyperlink" Target="https://www.edinburghadp.co.uk/services/prepare/" TargetMode="External"/><Relationship Id="rId27" Type="http://schemas.openxmlformats.org/officeDocument/2006/relationships/hyperlink" Target="https://www.gov.scot/publications/substance-use-treatment-target-letter-minister-drugs-policy/" TargetMode="External"/><Relationship Id="rId30" Type="http://schemas.openxmlformats.org/officeDocument/2006/relationships/hyperlink" Target="https://www.edinburgh.gov.uk/downloads/download/15662/edinburgh-safer-drug-consumption-facilities-and-drug-checking-services-feasibility-studi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9061794\AppData\Local\Microsoft\Windows\INetCache\Content.Outlook\UF2EPC72\ADP%20funding%20and%20Spend%202324%20FINAL%20version%20with%20return%20inf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'Spend by Type'!$F$3</c:f>
              <c:strCache>
                <c:ptCount val="1"/>
                <c:pt idx="0">
                  <c:v>Total EADP allocation 2023-24 (£000's)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07-4974-9CBA-BF47155E6DE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07-4974-9CBA-BF47155E6DE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07-4974-9CBA-BF47155E6D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'Spend by Type'!$B$4:$B$6</c:f>
              <c:strCache>
                <c:ptCount val="3"/>
                <c:pt idx="0">
                  <c:v>NHS</c:v>
                </c:pt>
                <c:pt idx="1">
                  <c:v>CEC</c:v>
                </c:pt>
                <c:pt idx="2">
                  <c:v>Third Sector</c:v>
                </c:pt>
              </c:strCache>
            </c:strRef>
          </c:cat>
          <c:val>
            <c:numRef>
              <c:f>'Spend by Type'!$F$4:$F$6</c:f>
              <c:numCache>
                <c:formatCode>"£"#,##0</c:formatCode>
                <c:ptCount val="3"/>
                <c:pt idx="0">
                  <c:v>5540.2246621414142</c:v>
                </c:pt>
                <c:pt idx="1">
                  <c:v>728.76800000000003</c:v>
                </c:pt>
                <c:pt idx="2">
                  <c:v>3582.8850761843364</c:v>
                </c:pt>
              </c:numCache>
            </c:numRef>
          </c:val>
          <c:extLst>
            <c:ext xmlns:c16="http://schemas.microsoft.com/office/drawing/2014/chart" uri="{C3380CC4-5D6E-409C-BE32-E72D297353CC}">
              <c16:uniqueId val="{00000006-0407-4974-9CBA-BF47155E6DE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Drug Related Deaths</a:t>
            </a:r>
            <a:r>
              <a:rPr lang="en-GB" baseline="0"/>
              <a:t> in Edinburgh and Scotland, 2010- 2022</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Sheet1!$E$3</c:f>
              <c:strCache>
                <c:ptCount val="1"/>
                <c:pt idx="0">
                  <c:v>Scotland</c:v>
                </c:pt>
              </c:strCache>
            </c:strRef>
          </c:tx>
          <c:spPr>
            <a:ln w="28575" cap="rnd">
              <a:solidFill>
                <a:schemeClr val="accent1"/>
              </a:solidFill>
              <a:round/>
            </a:ln>
            <a:effectLst/>
          </c:spPr>
          <c:marker>
            <c:symbol val="none"/>
          </c:marker>
          <c:cat>
            <c:numRef>
              <c:f>Sheet1!$F$2:$R$2</c:f>
              <c:numCache>
                <c:formatCode>0</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Sheet1!$F$3:$R$3</c:f>
              <c:numCache>
                <c:formatCode>0</c:formatCode>
                <c:ptCount val="13"/>
                <c:pt idx="0">
                  <c:v>485</c:v>
                </c:pt>
                <c:pt idx="1">
                  <c:v>584</c:v>
                </c:pt>
                <c:pt idx="2">
                  <c:v>581</c:v>
                </c:pt>
                <c:pt idx="3">
                  <c:v>527</c:v>
                </c:pt>
                <c:pt idx="4">
                  <c:v>614</c:v>
                </c:pt>
                <c:pt idx="5">
                  <c:v>706</c:v>
                </c:pt>
                <c:pt idx="6">
                  <c:v>868</c:v>
                </c:pt>
                <c:pt idx="7">
                  <c:v>934</c:v>
                </c:pt>
                <c:pt idx="8" formatCode="#,##0_ ;\-#,##0\ ">
                  <c:v>1187</c:v>
                </c:pt>
                <c:pt idx="9" formatCode="#,##0_ ;\-#,##0\ ">
                  <c:v>1280</c:v>
                </c:pt>
                <c:pt idx="10" formatCode="#,##0_ ;\-#,##0\ ">
                  <c:v>1339</c:v>
                </c:pt>
                <c:pt idx="11" formatCode="#,##0_ ;\-#,##0\ ">
                  <c:v>1330</c:v>
                </c:pt>
                <c:pt idx="12" formatCode="#,##0_ ;\-#,##0\ ">
                  <c:v>1051</c:v>
                </c:pt>
              </c:numCache>
            </c:numRef>
          </c:val>
          <c:smooth val="0"/>
          <c:extLst>
            <c:ext xmlns:c16="http://schemas.microsoft.com/office/drawing/2014/chart" uri="{C3380CC4-5D6E-409C-BE32-E72D297353CC}">
              <c16:uniqueId val="{00000000-786C-471D-B873-5793252845CF}"/>
            </c:ext>
          </c:extLst>
        </c:ser>
        <c:dLbls>
          <c:showLegendKey val="0"/>
          <c:showVal val="0"/>
          <c:showCatName val="0"/>
          <c:showSerName val="0"/>
          <c:showPercent val="0"/>
          <c:showBubbleSize val="0"/>
        </c:dLbls>
        <c:marker val="1"/>
        <c:smooth val="0"/>
        <c:axId val="435738168"/>
        <c:axId val="435737512"/>
      </c:lineChart>
      <c:lineChart>
        <c:grouping val="standard"/>
        <c:varyColors val="0"/>
        <c:ser>
          <c:idx val="1"/>
          <c:order val="1"/>
          <c:tx>
            <c:strRef>
              <c:f>Sheet1!$E$4</c:f>
              <c:strCache>
                <c:ptCount val="1"/>
                <c:pt idx="0">
                  <c:v>City of Edinburgh</c:v>
                </c:pt>
              </c:strCache>
            </c:strRef>
          </c:tx>
          <c:spPr>
            <a:ln w="28575" cap="rnd">
              <a:solidFill>
                <a:schemeClr val="accent2"/>
              </a:solidFill>
              <a:round/>
            </a:ln>
            <a:effectLst/>
          </c:spPr>
          <c:marker>
            <c:symbol val="none"/>
          </c:marker>
          <c:cat>
            <c:numRef>
              <c:f>Sheet1!$F$2:$R$2</c:f>
              <c:numCache>
                <c:formatCode>0</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Sheet1!$F$4:$R$4</c:f>
              <c:numCache>
                <c:formatCode>0</c:formatCode>
                <c:ptCount val="13"/>
                <c:pt idx="0">
                  <c:v>47</c:v>
                </c:pt>
                <c:pt idx="1">
                  <c:v>48</c:v>
                </c:pt>
                <c:pt idx="2">
                  <c:v>57</c:v>
                </c:pt>
                <c:pt idx="3">
                  <c:v>64</c:v>
                </c:pt>
                <c:pt idx="4">
                  <c:v>71</c:v>
                </c:pt>
                <c:pt idx="5">
                  <c:v>69</c:v>
                </c:pt>
                <c:pt idx="6">
                  <c:v>90</c:v>
                </c:pt>
                <c:pt idx="7">
                  <c:v>84</c:v>
                </c:pt>
                <c:pt idx="8" formatCode="#,##0_ ;\-#,##0\ ">
                  <c:v>95</c:v>
                </c:pt>
                <c:pt idx="9" formatCode="#,##0_ ;\-#,##0\ ">
                  <c:v>96</c:v>
                </c:pt>
                <c:pt idx="10" formatCode="#,##0_ ;\-#,##0\ ">
                  <c:v>92</c:v>
                </c:pt>
                <c:pt idx="11" formatCode="#,##0_ ;\-#,##0\ ">
                  <c:v>109</c:v>
                </c:pt>
                <c:pt idx="12" formatCode="#,##0_ ;\-#,##0\ ">
                  <c:v>113</c:v>
                </c:pt>
              </c:numCache>
            </c:numRef>
          </c:val>
          <c:smooth val="0"/>
          <c:extLst>
            <c:ext xmlns:c16="http://schemas.microsoft.com/office/drawing/2014/chart" uri="{C3380CC4-5D6E-409C-BE32-E72D297353CC}">
              <c16:uniqueId val="{00000001-786C-471D-B873-5793252845CF}"/>
            </c:ext>
          </c:extLst>
        </c:ser>
        <c:dLbls>
          <c:showLegendKey val="0"/>
          <c:showVal val="0"/>
          <c:showCatName val="0"/>
          <c:showSerName val="0"/>
          <c:showPercent val="0"/>
          <c:showBubbleSize val="0"/>
        </c:dLbls>
        <c:marker val="1"/>
        <c:smooth val="0"/>
        <c:axId val="330825376"/>
        <c:axId val="330824392"/>
      </c:lineChart>
      <c:catAx>
        <c:axId val="43573816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737512"/>
        <c:crosses val="autoZero"/>
        <c:auto val="1"/>
        <c:lblAlgn val="ctr"/>
        <c:lblOffset val="100"/>
        <c:noMultiLvlLbl val="0"/>
      </c:catAx>
      <c:valAx>
        <c:axId val="435737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738168"/>
        <c:crosses val="autoZero"/>
        <c:crossBetween val="between"/>
      </c:valAx>
      <c:valAx>
        <c:axId val="33082439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825376"/>
        <c:crosses val="max"/>
        <c:crossBetween val="between"/>
      </c:valAx>
      <c:catAx>
        <c:axId val="330825376"/>
        <c:scaling>
          <c:orientation val="minMax"/>
        </c:scaling>
        <c:delete val="1"/>
        <c:axPos val="b"/>
        <c:numFmt formatCode="0" sourceLinked="1"/>
        <c:majorTickMark val="out"/>
        <c:minorTickMark val="none"/>
        <c:tickLblPos val="nextTo"/>
        <c:crossAx val="330824392"/>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8416066C87854993AC93052F63B32A" ma:contentTypeVersion="5" ma:contentTypeDescription="Create a new document." ma:contentTypeScope="" ma:versionID="81bc338bf6ad5dbe5ac50228b2423e48">
  <xsd:schema xmlns:xsd="http://www.w3.org/2001/XMLSchema" xmlns:xs="http://www.w3.org/2001/XMLSchema" xmlns:p="http://schemas.microsoft.com/office/2006/metadata/properties" xmlns:ns2="b099eb3a-c165-4923-8bf8-849adb42c714" xmlns:ns3="dd428971-78af-45a1-9dbf-4e92b4a97a82" targetNamespace="http://schemas.microsoft.com/office/2006/metadata/properties" ma:root="true" ma:fieldsID="838f86583c9e8fc9c8201c1f05ea793a" ns2:_="" ns3:_="">
    <xsd:import namespace="b099eb3a-c165-4923-8bf8-849adb42c714"/>
    <xsd:import namespace="dd428971-78af-45a1-9dbf-4e92b4a97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eb3a-c165-4923-8bf8-849adb42c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28971-78af-45a1-9dbf-4e92b4a97a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FED59-BCAA-4204-836C-E442AAC1FD79}">
  <ds:schemaRefs>
    <ds:schemaRef ds:uri="http://schemas.openxmlformats.org/officeDocument/2006/bibliography"/>
  </ds:schemaRefs>
</ds:datastoreItem>
</file>

<file path=customXml/itemProps2.xml><?xml version="1.0" encoding="utf-8"?>
<ds:datastoreItem xmlns:ds="http://schemas.openxmlformats.org/officeDocument/2006/customXml" ds:itemID="{DA8E90C2-885C-42D4-BE3B-D1EC7097547E}">
  <ds:schemaRefs>
    <ds:schemaRef ds:uri="http://schemas.microsoft.com/sharepoint/v3/contenttype/forms"/>
  </ds:schemaRefs>
</ds:datastoreItem>
</file>

<file path=customXml/itemProps3.xml><?xml version="1.0" encoding="utf-8"?>
<ds:datastoreItem xmlns:ds="http://schemas.openxmlformats.org/officeDocument/2006/customXml" ds:itemID="{9BAFD901-9EA7-4A80-B466-E1A144478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eb3a-c165-4923-8bf8-849adb42c714"/>
    <ds:schemaRef ds:uri="dd428971-78af-45a1-9dbf-4e92b4a97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C267B-0F41-4C9B-A023-50E5734C29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9882</Words>
  <Characters>56334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David Williams</cp:lastModifiedBy>
  <cp:revision>4</cp:revision>
  <dcterms:created xsi:type="dcterms:W3CDTF">2024-08-19T09:18:00Z</dcterms:created>
  <dcterms:modified xsi:type="dcterms:W3CDTF">2024-08-19T09:19:00Z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0x010100D28416066C87854993AC93052F63B32A</vt:lpwstr>
  </property>
</Properties>
</file>